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C77" w14:textId="4220DB99" w:rsidR="003A3C0F" w:rsidRDefault="003A3C0F"/>
    <w:p w14:paraId="2D93467E" w14:textId="77777777" w:rsidR="007278C0" w:rsidRDefault="007278C0" w:rsidP="007278C0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8C0" w14:paraId="683903A7" w14:textId="77777777" w:rsidTr="006E2595">
        <w:tc>
          <w:tcPr>
            <w:tcW w:w="9062" w:type="dxa"/>
            <w:shd w:val="clear" w:color="auto" w:fill="BFBFBF" w:themeFill="background1" w:themeFillShade="BF"/>
          </w:tcPr>
          <w:p w14:paraId="0604262B" w14:textId="5870A210" w:rsidR="007278C0" w:rsidRPr="008C1886" w:rsidRDefault="007278C0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VI. </w:t>
            </w:r>
            <w:r w:rsidR="00652D38" w:rsidRPr="00652D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 </w:t>
            </w:r>
            <w:proofErr w:type="spellStart"/>
            <w:r w:rsidR="00652D38" w:rsidRPr="00652D38">
              <w:rPr>
                <w:rFonts w:ascii="Arial" w:hAnsi="Arial" w:cs="Arial"/>
                <w:b/>
                <w:bCs/>
                <w:sz w:val="20"/>
                <w:szCs w:val="20"/>
              </w:rPr>
              <w:t>clause</w:t>
            </w:r>
            <w:proofErr w:type="spellEnd"/>
            <w:r w:rsidR="00652D38" w:rsidRPr="00652D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data </w:t>
            </w:r>
            <w:proofErr w:type="spellStart"/>
            <w:r w:rsidR="00652D38" w:rsidRPr="00652D38">
              <w:rPr>
                <w:rFonts w:ascii="Arial" w:hAnsi="Arial" w:cs="Arial"/>
                <w:b/>
                <w:bCs/>
                <w:sz w:val="20"/>
                <w:szCs w:val="20"/>
              </w:rPr>
              <w:t>processing</w:t>
            </w:r>
            <w:proofErr w:type="spellEnd"/>
          </w:p>
        </w:tc>
      </w:tr>
      <w:tr w:rsidR="007278C0" w14:paraId="25195FDC" w14:textId="77777777" w:rsidTr="006E2595">
        <w:tc>
          <w:tcPr>
            <w:tcW w:w="9062" w:type="dxa"/>
          </w:tcPr>
          <w:p w14:paraId="6E4E1B2C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54A57" w14:textId="042F8518" w:rsidR="007278C0" w:rsidRPr="008C1886" w:rsidRDefault="006D7DB5" w:rsidP="006E25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Pursuant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13 (1) and (2) of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(EU) 2016/679 of the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Parliament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and of the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Council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of 27.04.2016 on the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natural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persons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regard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data and on the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movement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data and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repealing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Directive 95/46/EC (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hereinafter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: RODO), I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inform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7278C0" w:rsidRPr="008C18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B1C00D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18166" w14:textId="0BE97E6D" w:rsidR="007278C0" w:rsidRDefault="006D7DB5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Administrator</w:t>
            </w:r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6DF542" w14:textId="23599CEB" w:rsidR="007278C0" w:rsidRPr="00431BA7" w:rsidRDefault="006D7DB5" w:rsidP="006E2595">
            <w:r w:rsidRPr="006D7DB5">
              <w:rPr>
                <w:rFonts w:ascii="Arial" w:hAnsi="Arial" w:cs="Arial"/>
                <w:sz w:val="20"/>
                <w:szCs w:val="20"/>
              </w:rPr>
              <w:t xml:space="preserve">The administrator of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the Lubelskie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Voivodeship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Regional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Center for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Policy in Lublin,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2 Diamentowa </w:t>
            </w:r>
            <w:proofErr w:type="spellStart"/>
            <w:r w:rsidRPr="006D7DB5"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 w:rsidRPr="006D7DB5">
              <w:rPr>
                <w:rFonts w:ascii="Arial" w:hAnsi="Arial" w:cs="Arial"/>
                <w:sz w:val="20"/>
                <w:szCs w:val="20"/>
              </w:rPr>
              <w:t xml:space="preserve"> in Lublin</w:t>
            </w:r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6983B" w14:textId="77777777" w:rsidR="007278C0" w:rsidRPr="008C1886" w:rsidRDefault="007278C0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6170C" w14:textId="77777777" w:rsidR="006D7DB5" w:rsidRDefault="006D7DB5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6D7DB5">
              <w:rPr>
                <w:rFonts w:ascii="Arial" w:hAnsi="Arial" w:cs="Arial"/>
                <w:b/>
                <w:bCs/>
                <w:sz w:val="20"/>
                <w:szCs w:val="20"/>
              </w:rPr>
              <w:t>controller's</w:t>
            </w:r>
            <w:proofErr w:type="spellEnd"/>
            <w:r w:rsidRPr="006D7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DB5">
              <w:rPr>
                <w:rFonts w:ascii="Arial" w:hAnsi="Arial" w:cs="Arial"/>
                <w:b/>
                <w:bCs/>
                <w:sz w:val="20"/>
                <w:szCs w:val="20"/>
              </w:rPr>
              <w:t>representative</w:t>
            </w:r>
            <w:proofErr w:type="spellEnd"/>
          </w:p>
          <w:p w14:paraId="22FFE542" w14:textId="72387FEA" w:rsidR="007278C0" w:rsidRDefault="003B315F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15F">
              <w:rPr>
                <w:rFonts w:ascii="Arial" w:hAnsi="Arial" w:cs="Arial"/>
                <w:sz w:val="20"/>
                <w:szCs w:val="20"/>
              </w:rPr>
              <w:t xml:space="preserve">The data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controller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contacted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by mail,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to: 2 Diamentowa St., 20-447 Lublin, e-mail: </w:t>
            </w:r>
            <w:hyperlink r:id="rId7" w:history="1">
              <w:r w:rsidRPr="00EF74FA">
                <w:rPr>
                  <w:rStyle w:val="Hipercze"/>
                  <w:rFonts w:ascii="Arial" w:hAnsi="Arial" w:cs="Arial"/>
                  <w:sz w:val="20"/>
                  <w:szCs w:val="20"/>
                </w:rPr>
                <w:t>rops@rops.lubelskie.pl</w:t>
              </w:r>
            </w:hyperlink>
          </w:p>
          <w:p w14:paraId="405E78B9" w14:textId="77777777" w:rsidR="003B315F" w:rsidRDefault="003B315F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AEB4B" w14:textId="6145F1AA" w:rsidR="007278C0" w:rsidRPr="006E2595" w:rsidRDefault="003B315F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3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3B315F">
              <w:rPr>
                <w:rFonts w:ascii="Arial" w:hAnsi="Arial" w:cs="Arial"/>
                <w:b/>
                <w:bCs/>
                <w:sz w:val="20"/>
                <w:szCs w:val="20"/>
              </w:rPr>
              <w:t>Protection</w:t>
            </w:r>
            <w:proofErr w:type="spellEnd"/>
            <w:r w:rsidRPr="003B3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315F">
              <w:rPr>
                <w:rFonts w:ascii="Arial" w:hAnsi="Arial" w:cs="Arial"/>
                <w:b/>
                <w:bCs/>
                <w:sz w:val="20"/>
                <w:szCs w:val="20"/>
              </w:rPr>
              <w:t>Officer</w:t>
            </w:r>
            <w:proofErr w:type="spellEnd"/>
            <w:r w:rsidR="007278C0"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2BBEB1D" w14:textId="51DCE8D1" w:rsidR="007278C0" w:rsidRDefault="003B315F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manner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, as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rights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obtained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contacting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the Data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Officer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 by email </w:t>
            </w:r>
            <w:proofErr w:type="spellStart"/>
            <w:r w:rsidRPr="003B315F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Pr="003B315F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 w:rsidRPr="00EF74FA">
                <w:rPr>
                  <w:rStyle w:val="Hipercze"/>
                  <w:rFonts w:ascii="Arial" w:hAnsi="Arial" w:cs="Arial"/>
                  <w:sz w:val="20"/>
                  <w:szCs w:val="20"/>
                </w:rPr>
                <w:t>iod.rops@lubelskie.pl</w:t>
              </w:r>
            </w:hyperlink>
          </w:p>
          <w:p w14:paraId="14D9F863" w14:textId="77777777" w:rsidR="003B315F" w:rsidRDefault="003B315F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77426" w14:textId="74C94845" w:rsidR="007278C0" w:rsidRPr="006E2595" w:rsidRDefault="0022497E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Purposes</w:t>
            </w:r>
            <w:proofErr w:type="spellEnd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proofErr w:type="spellEnd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 </w:t>
            </w: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processing</w:t>
            </w:r>
            <w:proofErr w:type="spellEnd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legal</w:t>
            </w:r>
            <w:proofErr w:type="spellEnd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basis</w:t>
            </w:r>
            <w:proofErr w:type="spellEnd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22497E">
              <w:rPr>
                <w:rFonts w:ascii="Arial" w:hAnsi="Arial" w:cs="Arial"/>
                <w:b/>
                <w:bCs/>
                <w:sz w:val="20"/>
                <w:szCs w:val="20"/>
              </w:rPr>
              <w:t>processing</w:t>
            </w:r>
            <w:proofErr w:type="spellEnd"/>
            <w:r w:rsidR="007278C0" w:rsidRPr="006E25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6FD3FB" w14:textId="14969ED8" w:rsidR="007278C0" w:rsidRDefault="0022497E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97E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take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place on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6(1)(c) and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9(2)(g) of the RODO -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for Lubelskie 2021-2027 Program on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7278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243FE4" w14:textId="0CC0F2CA" w:rsidR="007278C0" w:rsidRDefault="0022497E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(EU) 2021/1060 of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Parliament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and of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Council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of 24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June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2021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laying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down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provisions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Regional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Development Fund.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Fund Plus,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Cohesion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Fund, Fund for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equitable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transition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Maritime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Fisheries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Aquaculture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Fund, as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and for the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Asylum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, Migration and Integration Fund,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Security Fund and the Financial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Facility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Border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Management and Visa Policy,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hereinafter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Pr="0022497E">
              <w:rPr>
                <w:rFonts w:ascii="Arial" w:hAnsi="Arial" w:cs="Arial"/>
                <w:sz w:val="20"/>
                <w:szCs w:val="20"/>
              </w:rPr>
              <w:t xml:space="preserve"> to as the General </w:t>
            </w:r>
            <w:proofErr w:type="spellStart"/>
            <w:r w:rsidRPr="0022497E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725AF9" w14:textId="77777777" w:rsidR="00B74215" w:rsidRPr="00B74215" w:rsidRDefault="00B74215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</w:pP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(EU) 2021/1057 of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Parliament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and of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Council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24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June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2021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establishing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Fund Plus (ESF+) and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repealing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(EU) No. 1296/2013,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hereinafter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to as the ESF+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Regulation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27842A" w14:textId="5541A1A1" w:rsidR="007278C0" w:rsidRPr="003978D5" w:rsidRDefault="00B74215" w:rsidP="007278C0">
            <w:pPr>
              <w:pStyle w:val="Akapitzlist"/>
              <w:numPr>
                <w:ilvl w:val="0"/>
                <w:numId w:val="9"/>
              </w:numPr>
              <w:ind w:hanging="491"/>
              <w:jc w:val="both"/>
            </w:pP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April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28, 2022 on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financial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2021-2027 (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Laws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1079),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hereinafter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to as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Act</w:t>
            </w:r>
            <w:proofErr w:type="spellEnd"/>
            <w:r w:rsidR="007278C0" w:rsidRPr="003978D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061D5F" w14:textId="4D3A70EB" w:rsidR="007278C0" w:rsidRPr="006E2595" w:rsidRDefault="00B74215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21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data,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image (of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face,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clothing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voice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, speech,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expression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thoughts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take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place on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6(1)(a) of the RODO -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consent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given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A17E63" w14:textId="64BF74BE" w:rsidR="007278C0" w:rsidRDefault="00B74215" w:rsidP="00727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215">
              <w:rPr>
                <w:rFonts w:ascii="Arial" w:hAnsi="Arial" w:cs="Arial"/>
                <w:sz w:val="20"/>
                <w:szCs w:val="20"/>
              </w:rPr>
              <w:t xml:space="preserve">Personal data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processed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solely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B74215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B74215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7278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7A4A45" w14:textId="12276AFD" w:rsidR="007278C0" w:rsidRDefault="00A465FF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FF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provision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account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recruitment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monitoring,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audit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carried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out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801CA6" w14:textId="390194E1" w:rsidR="007278C0" w:rsidRDefault="00A465FF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in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particular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expenditure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providing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monitoring,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audit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promotional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for Lubelskie 2021-2027 Program</w:t>
            </w:r>
            <w:r w:rsidR="007278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D7CF25" w14:textId="1D987BC6" w:rsidR="007278C0" w:rsidRDefault="00A465FF" w:rsidP="007278C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F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granted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consent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for image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- for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purposes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promotional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A465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A465FF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3272D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B94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C7414" w14:textId="75667706" w:rsidR="007278C0" w:rsidRPr="000902D9" w:rsidRDefault="004B551D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 of </w:t>
            </w:r>
            <w:proofErr w:type="spellStart"/>
            <w:r w:rsidRPr="004B551D">
              <w:rPr>
                <w:rFonts w:ascii="Arial" w:hAnsi="Arial" w:cs="Arial"/>
                <w:b/>
                <w:bCs/>
                <w:sz w:val="20"/>
                <w:szCs w:val="20"/>
              </w:rPr>
              <w:t>storage</w:t>
            </w:r>
            <w:proofErr w:type="spellEnd"/>
            <w:r w:rsidRPr="004B5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4B551D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proofErr w:type="spellEnd"/>
            <w:r w:rsidRPr="004B5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</w:t>
            </w:r>
            <w:r w:rsidR="007278C0"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D6DCFB2" w14:textId="2F04639C" w:rsidR="007278C0" w:rsidRDefault="00A46225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stored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for a period of 5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December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31 of the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last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of a grant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under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was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C5D4D9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C4A7E4" w14:textId="77777777" w:rsidR="00A46225" w:rsidRDefault="00A46225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38C54" w14:textId="16297BE3" w:rsidR="007278C0" w:rsidRDefault="00A46225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62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Rights</w:t>
            </w:r>
            <w:proofErr w:type="spellEnd"/>
            <w:r w:rsidRPr="00A46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data </w:t>
            </w:r>
            <w:proofErr w:type="spellStart"/>
            <w:r w:rsidRPr="00A46225">
              <w:rPr>
                <w:rFonts w:ascii="Arial" w:hAnsi="Arial" w:cs="Arial"/>
                <w:b/>
                <w:bCs/>
                <w:sz w:val="20"/>
                <w:szCs w:val="20"/>
              </w:rPr>
              <w:t>subject</w:t>
            </w:r>
            <w:proofErr w:type="spellEnd"/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9AB6A53" w14:textId="2B88A8EC" w:rsidR="007278C0" w:rsidRPr="006E2595" w:rsidRDefault="00A46225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7278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1ADD00" w14:textId="5F3D6BF0" w:rsidR="007278C0" w:rsidRDefault="00A46225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5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obtain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as to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whether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being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processed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data (</w:t>
            </w:r>
            <w:proofErr w:type="spellStart"/>
            <w:r w:rsidRPr="00A46225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A46225">
              <w:rPr>
                <w:rFonts w:ascii="Arial" w:hAnsi="Arial" w:cs="Arial"/>
                <w:sz w:val="20"/>
                <w:szCs w:val="20"/>
              </w:rPr>
              <w:t xml:space="preserve"> 15 of the RODO</w:t>
            </w:r>
            <w:r w:rsidR="007278C0" w:rsidRPr="006E2595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319D2397" w14:textId="3E254878" w:rsidR="007278C0" w:rsidRDefault="007C1B09" w:rsidP="007278C0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request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rectification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concerning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inaccurate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request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incomplete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 (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16 RODO</w:t>
            </w:r>
            <w:r w:rsidR="007278C0" w:rsidRPr="006E2595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6803614A" w14:textId="77777777" w:rsidR="007C1B09" w:rsidRDefault="007C1B09" w:rsidP="007C1B09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request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, in the event of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prerequisites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to in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18(1) RODO</w:t>
            </w:r>
            <w:r w:rsidR="007278C0" w:rsidRPr="006E25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16C597" w14:textId="72EC22E3" w:rsidR="007278C0" w:rsidRPr="007C1B09" w:rsidRDefault="007C1B09" w:rsidP="007C1B09">
            <w:pPr>
              <w:pStyle w:val="Akapitzlist"/>
              <w:numPr>
                <w:ilvl w:val="0"/>
                <w:numId w:val="12"/>
              </w:numPr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consent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data,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request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erasure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 (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17 RODO), and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receive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 in a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structured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commonly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machine-readable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format and the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send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data to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another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controller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C1B09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7C1B09">
              <w:rPr>
                <w:rFonts w:ascii="Arial" w:hAnsi="Arial" w:cs="Arial"/>
                <w:sz w:val="20"/>
                <w:szCs w:val="20"/>
              </w:rPr>
              <w:t xml:space="preserve"> 20 RODO</w:t>
            </w:r>
            <w:r w:rsidR="007278C0" w:rsidRPr="007C1B0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DA703E6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D8ACA" w14:textId="52300253" w:rsidR="007278C0" w:rsidRDefault="00206974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right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lodge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complaint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a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supervisory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authority</w:t>
            </w:r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8D22127" w14:textId="310F06C9" w:rsidR="007278C0" w:rsidRDefault="00206974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lodge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complaint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President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the Office for Personal Data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2 Stawki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00-193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Warsaw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consider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concerning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violates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provisions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the RODO</w:t>
            </w:r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EB0B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ECE6D" w14:textId="50D7F7B6" w:rsidR="007278C0" w:rsidRDefault="00206974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Consequences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not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providing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personal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</w:t>
            </w:r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FA1F302" w14:textId="73D62C6B" w:rsidR="007278C0" w:rsidRDefault="00206974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Providing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condition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maintaining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under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failure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to do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result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inability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provide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under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consent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data in the field of image (face,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clothing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voice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, speech,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manner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expression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thoughts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voluntary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not a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condition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maintaining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under</w:t>
            </w:r>
            <w:proofErr w:type="spellEnd"/>
            <w:r w:rsidRPr="0020697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206974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F44B2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4C0B6" w14:textId="599C60A7" w:rsidR="007278C0" w:rsidRDefault="00206974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>Recipients</w:t>
            </w:r>
            <w:proofErr w:type="spellEnd"/>
            <w:r w:rsidRPr="00206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data</w:t>
            </w:r>
            <w:r w:rsidR="007278C0" w:rsidRPr="000902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91C4E9" w14:textId="6CE5B9C1" w:rsidR="007278C0" w:rsidRDefault="00BF1E2D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processed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by the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entities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administrators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involved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of the program</w:t>
            </w:r>
            <w:r w:rsidR="007278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3BDA5D" w14:textId="23FF9ADF" w:rsidR="007278C0" w:rsidRDefault="00BF1E2D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Intermediate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Body: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Provincial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Labor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Office in Lublin, 4 Obywatelska St., 20-092 Lublin</w:t>
            </w:r>
            <w:r w:rsidR="007278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34F2B5" w14:textId="0B398994" w:rsidR="007278C0" w:rsidRDefault="00BF1E2D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E2D">
              <w:rPr>
                <w:rFonts w:ascii="Arial" w:hAnsi="Arial" w:cs="Arial"/>
                <w:sz w:val="20"/>
                <w:szCs w:val="20"/>
              </w:rPr>
              <w:t xml:space="preserve">Lubelskie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Voivodeship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Board with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seat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Pr="00BF1E2D">
              <w:rPr>
                <w:rFonts w:ascii="Arial" w:hAnsi="Arial" w:cs="Arial"/>
                <w:sz w:val="20"/>
                <w:szCs w:val="20"/>
              </w:rPr>
              <w:t xml:space="preserve"> 4 Artura Grottgera St., 20-029 Lublin, 2/4 Wspólna St., 00-926 </w:t>
            </w:r>
            <w:proofErr w:type="spellStart"/>
            <w:r w:rsidRPr="00BF1E2D">
              <w:rPr>
                <w:rFonts w:ascii="Arial" w:hAnsi="Arial" w:cs="Arial"/>
                <w:sz w:val="20"/>
                <w:szCs w:val="20"/>
              </w:rPr>
              <w:t>Warsaw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4FEA30" w14:textId="2E8CB2D5" w:rsidR="007278C0" w:rsidRDefault="006D7B6B" w:rsidP="007278C0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Coordinating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Authority of the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Partnership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Agreement -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Ministry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Funds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Regional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Policy, 2/4 Wspólna St., 20-962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Warsaw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8D8048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1DD99" w14:textId="66A2260C" w:rsidR="007278C0" w:rsidRDefault="006D7B6B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B6B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entrusted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external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service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contractors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carrying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out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audit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. Personal data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processed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in the CST2021 ICT system</w:t>
            </w:r>
            <w:r w:rsidR="007278C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0EFF7D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C2E22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2B262" w14:textId="71315334" w:rsidR="007278C0" w:rsidRDefault="006D7B6B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Transfer of data to a third country/</w:t>
            </w:r>
            <w:proofErr w:type="spellStart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international</w:t>
            </w:r>
            <w:proofErr w:type="spellEnd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  <w:proofErr w:type="spellEnd"/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F21FE2" w14:textId="23B284ED" w:rsidR="007278C0" w:rsidRDefault="006D7B6B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not be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transferred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to a third country/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6D7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BE097A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E6822" w14:textId="51B89DA8" w:rsidR="007278C0" w:rsidRDefault="006D7B6B" w:rsidP="006E2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Automated</w:t>
            </w:r>
            <w:proofErr w:type="spellEnd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decision-making</w:t>
            </w:r>
            <w:proofErr w:type="spellEnd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7B6B">
              <w:rPr>
                <w:rFonts w:ascii="Arial" w:hAnsi="Arial" w:cs="Arial"/>
                <w:b/>
                <w:bCs/>
                <w:sz w:val="20"/>
                <w:szCs w:val="20"/>
              </w:rPr>
              <w:t>profiling</w:t>
            </w:r>
            <w:proofErr w:type="spellEnd"/>
            <w:r w:rsidR="007278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6DBFE3" w14:textId="568739DE" w:rsidR="007278C0" w:rsidRDefault="00745B07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45B07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not be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processed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automated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means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45B07">
              <w:rPr>
                <w:rFonts w:ascii="Arial" w:hAnsi="Arial" w:cs="Arial"/>
                <w:sz w:val="20"/>
                <w:szCs w:val="20"/>
              </w:rPr>
              <w:t xml:space="preserve"> not be </w:t>
            </w:r>
            <w:proofErr w:type="spellStart"/>
            <w:r w:rsidRPr="00745B07">
              <w:rPr>
                <w:rFonts w:ascii="Arial" w:hAnsi="Arial" w:cs="Arial"/>
                <w:sz w:val="20"/>
                <w:szCs w:val="20"/>
              </w:rPr>
              <w:t>profiled</w:t>
            </w:r>
            <w:proofErr w:type="spellEnd"/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6731B8" w14:textId="77777777" w:rsidR="007278C0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EB39E8" w14:textId="77777777" w:rsidR="007278C0" w:rsidRPr="008C1886" w:rsidRDefault="007278C0" w:rsidP="006E2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F47F2" w14:textId="77777777" w:rsidR="007278C0" w:rsidRPr="00FC64F3" w:rsidRDefault="007278C0" w:rsidP="007278C0">
      <w:pPr>
        <w:spacing w:after="0" w:line="240" w:lineRule="auto"/>
        <w:rPr>
          <w:rFonts w:ascii="Arial" w:hAnsi="Arial" w:cs="Arial"/>
        </w:rPr>
      </w:pPr>
    </w:p>
    <w:p w14:paraId="1922C338" w14:textId="77777777" w:rsidR="007278C0" w:rsidRDefault="007278C0"/>
    <w:sectPr w:rsidR="007278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CC8D" w14:textId="77777777" w:rsidR="00843629" w:rsidRDefault="00843629" w:rsidP="00BD4EF4">
      <w:pPr>
        <w:spacing w:after="0" w:line="240" w:lineRule="auto"/>
      </w:pPr>
      <w:r>
        <w:separator/>
      </w:r>
    </w:p>
  </w:endnote>
  <w:endnote w:type="continuationSeparator" w:id="0">
    <w:p w14:paraId="5AE03007" w14:textId="77777777" w:rsidR="00843629" w:rsidRDefault="00843629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6314" w14:textId="77777777" w:rsidR="00843629" w:rsidRDefault="00843629" w:rsidP="00BD4EF4">
      <w:pPr>
        <w:spacing w:after="0" w:line="240" w:lineRule="auto"/>
      </w:pPr>
      <w:r>
        <w:separator/>
      </w:r>
    </w:p>
  </w:footnote>
  <w:footnote w:type="continuationSeparator" w:id="0">
    <w:p w14:paraId="665DBB21" w14:textId="77777777" w:rsidR="00843629" w:rsidRDefault="00843629" w:rsidP="00B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2E6" w14:textId="520963CF" w:rsidR="00BD4EF4" w:rsidRPr="00B0436A" w:rsidRDefault="00501702" w:rsidP="00BD4EF4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„</w:t>
    </w:r>
    <w:r w:rsidR="00BD4EF4" w:rsidRPr="00B0436A">
      <w:rPr>
        <w:sz w:val="16"/>
        <w:szCs w:val="16"/>
      </w:rPr>
      <w:t>Utworzenie Centrum Integracji dla obywateli państw trzecich, w tym migrantów w województwie lubelskim”</w:t>
    </w:r>
    <w:r w:rsidR="00BC16C4">
      <w:rPr>
        <w:sz w:val="16"/>
        <w:szCs w:val="16"/>
      </w:rPr>
      <w:t xml:space="preserve"> - </w:t>
    </w:r>
  </w:p>
  <w:p w14:paraId="01478231" w14:textId="6E7737A9" w:rsidR="00BD4EF4" w:rsidRPr="00BD4EF4" w:rsidRDefault="00BD4EF4" w:rsidP="00BD4EF4">
    <w:pPr>
      <w:pStyle w:val="Nagwek"/>
      <w:jc w:val="center"/>
    </w:pPr>
    <w:r w:rsidRPr="00B0436A">
      <w:rPr>
        <w:sz w:val="16"/>
        <w:szCs w:val="16"/>
      </w:rPr>
      <w:t>Projekt pozakonkursowy współfinansowany przez Unię Europejską w ramach Europejskiego Funduszu Społecznego</w:t>
    </w:r>
    <w:r w:rsidR="00686423">
      <w:rPr>
        <w:sz w:val="16"/>
        <w:szCs w:val="16"/>
      </w:rPr>
      <w:t xml:space="preserve"> </w:t>
    </w:r>
    <w:r w:rsidR="002C0673">
      <w:rPr>
        <w:sz w:val="16"/>
        <w:szCs w:val="16"/>
      </w:rPr>
      <w:t xml:space="preserve">Plus </w:t>
    </w:r>
    <w:r w:rsidRPr="00B0436A">
      <w:rPr>
        <w:sz w:val="16"/>
        <w:szCs w:val="16"/>
      </w:rPr>
      <w:t xml:space="preserve"> realizowany przez Regionalny Ośrodek Polityki Społecznej w Lublinie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283"/>
    <w:multiLevelType w:val="hybridMultilevel"/>
    <w:tmpl w:val="1A602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576B"/>
    <w:multiLevelType w:val="hybridMultilevel"/>
    <w:tmpl w:val="97B446F0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11"/>
  </w:num>
  <w:num w:numId="2" w16cid:durableId="878125990">
    <w:abstractNumId w:val="10"/>
  </w:num>
  <w:num w:numId="3" w16cid:durableId="55053371">
    <w:abstractNumId w:val="7"/>
  </w:num>
  <w:num w:numId="4" w16cid:durableId="1724132194">
    <w:abstractNumId w:val="5"/>
  </w:num>
  <w:num w:numId="5" w16cid:durableId="1950314745">
    <w:abstractNumId w:val="4"/>
  </w:num>
  <w:num w:numId="6" w16cid:durableId="770590634">
    <w:abstractNumId w:val="9"/>
  </w:num>
  <w:num w:numId="7" w16cid:durableId="1864703807">
    <w:abstractNumId w:val="0"/>
  </w:num>
  <w:num w:numId="8" w16cid:durableId="1279600040">
    <w:abstractNumId w:val="12"/>
  </w:num>
  <w:num w:numId="9" w16cid:durableId="1319725075">
    <w:abstractNumId w:val="8"/>
  </w:num>
  <w:num w:numId="10" w16cid:durableId="935553552">
    <w:abstractNumId w:val="2"/>
  </w:num>
  <w:num w:numId="11" w16cid:durableId="1007437666">
    <w:abstractNumId w:val="6"/>
  </w:num>
  <w:num w:numId="12" w16cid:durableId="389766196">
    <w:abstractNumId w:val="3"/>
  </w:num>
  <w:num w:numId="13" w16cid:durableId="72830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73EC9"/>
    <w:rsid w:val="0007492B"/>
    <w:rsid w:val="000867CA"/>
    <w:rsid w:val="000D4DCC"/>
    <w:rsid w:val="00206974"/>
    <w:rsid w:val="0022497E"/>
    <w:rsid w:val="002A0B62"/>
    <w:rsid w:val="002C0673"/>
    <w:rsid w:val="00352A3E"/>
    <w:rsid w:val="003A3C0F"/>
    <w:rsid w:val="003B315F"/>
    <w:rsid w:val="003F3F7B"/>
    <w:rsid w:val="00491695"/>
    <w:rsid w:val="004B551D"/>
    <w:rsid w:val="00501702"/>
    <w:rsid w:val="00597EAD"/>
    <w:rsid w:val="00652D38"/>
    <w:rsid w:val="00682BCF"/>
    <w:rsid w:val="00686423"/>
    <w:rsid w:val="006D7B6B"/>
    <w:rsid w:val="006D7DB5"/>
    <w:rsid w:val="007278C0"/>
    <w:rsid w:val="00745B07"/>
    <w:rsid w:val="007C1B09"/>
    <w:rsid w:val="00843629"/>
    <w:rsid w:val="0085167A"/>
    <w:rsid w:val="008F334B"/>
    <w:rsid w:val="009119C7"/>
    <w:rsid w:val="00951212"/>
    <w:rsid w:val="00A46225"/>
    <w:rsid w:val="00A465FF"/>
    <w:rsid w:val="00AC74B1"/>
    <w:rsid w:val="00B74215"/>
    <w:rsid w:val="00BC16C4"/>
    <w:rsid w:val="00BD4EF4"/>
    <w:rsid w:val="00BF1E2D"/>
    <w:rsid w:val="00C77E43"/>
    <w:rsid w:val="00CA2412"/>
    <w:rsid w:val="00E81FD3"/>
    <w:rsid w:val="00F30D2A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C0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B31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846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Kamil Szafran</cp:lastModifiedBy>
  <cp:revision>15</cp:revision>
  <dcterms:created xsi:type="dcterms:W3CDTF">2024-07-02T12:45:00Z</dcterms:created>
  <dcterms:modified xsi:type="dcterms:W3CDTF">2024-07-02T12:53:00Z</dcterms:modified>
</cp:coreProperties>
</file>