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91C2" w14:textId="77777777" w:rsidR="006D7EC8" w:rsidRPr="00A43860" w:rsidRDefault="006D7EC8" w:rsidP="00CC2203">
      <w:pPr>
        <w:pStyle w:val="Nagwek"/>
        <w:tabs>
          <w:tab w:val="clear" w:pos="4536"/>
          <w:tab w:val="left" w:pos="4678"/>
        </w:tabs>
        <w:ind w:left="4536"/>
        <w:rPr>
          <w:sz w:val="20"/>
          <w:szCs w:val="16"/>
        </w:rPr>
      </w:pPr>
      <w:r w:rsidRPr="00A43860">
        <w:rPr>
          <w:sz w:val="20"/>
          <w:szCs w:val="16"/>
        </w:rPr>
        <w:t>Załącznik do Wojewódzkiego Programu Profilaktyki</w:t>
      </w:r>
    </w:p>
    <w:p w14:paraId="7BC785D5" w14:textId="77777777" w:rsidR="006D7EC8" w:rsidRPr="00A43860" w:rsidRDefault="006D7EC8" w:rsidP="006D7EC8">
      <w:pPr>
        <w:pStyle w:val="Nagwek"/>
        <w:ind w:left="4536"/>
        <w:rPr>
          <w:sz w:val="20"/>
          <w:szCs w:val="16"/>
        </w:rPr>
      </w:pPr>
      <w:r w:rsidRPr="00A43860">
        <w:rPr>
          <w:sz w:val="20"/>
          <w:szCs w:val="16"/>
        </w:rPr>
        <w:t>i Rozwiązywania Problemów Alkoholowych</w:t>
      </w:r>
    </w:p>
    <w:p w14:paraId="30662BB9" w14:textId="77777777" w:rsidR="006D7EC8" w:rsidRPr="00A43860" w:rsidRDefault="006D7EC8" w:rsidP="006D7EC8">
      <w:pPr>
        <w:pStyle w:val="Nagwek"/>
        <w:ind w:left="4536"/>
        <w:rPr>
          <w:sz w:val="20"/>
          <w:szCs w:val="16"/>
        </w:rPr>
      </w:pPr>
      <w:r w:rsidRPr="00A43860">
        <w:rPr>
          <w:sz w:val="20"/>
          <w:szCs w:val="16"/>
        </w:rPr>
        <w:t>oraz Przeciwdziałania Narkomanii</w:t>
      </w:r>
    </w:p>
    <w:p w14:paraId="5AA82F0C" w14:textId="77777777" w:rsidR="006D7EC8" w:rsidRPr="00A43860" w:rsidRDefault="006D7EC8" w:rsidP="006D7EC8">
      <w:pPr>
        <w:pStyle w:val="Nagwek"/>
        <w:ind w:left="4536"/>
        <w:rPr>
          <w:sz w:val="20"/>
          <w:szCs w:val="16"/>
        </w:rPr>
      </w:pPr>
      <w:r w:rsidRPr="00A43860">
        <w:rPr>
          <w:sz w:val="20"/>
          <w:szCs w:val="16"/>
        </w:rPr>
        <w:t xml:space="preserve">na lata 2026-2030 </w:t>
      </w:r>
    </w:p>
    <w:p w14:paraId="05B20838" w14:textId="7F214C6E" w:rsidR="001676E4" w:rsidRPr="00B11CBB" w:rsidRDefault="001676E4" w:rsidP="00FB1688">
      <w:pPr>
        <w:pStyle w:val="Tytu"/>
      </w:pPr>
      <w:bookmarkStart w:id="0" w:name="_Toc214277550"/>
      <w:bookmarkStart w:id="1" w:name="_Hlk214269319"/>
      <w:r w:rsidRPr="00B11CBB">
        <w:t>Diagnoza</w:t>
      </w:r>
      <w:r w:rsidR="00CC2203" w:rsidRPr="00B11CBB">
        <w:t xml:space="preserve"> </w:t>
      </w:r>
      <w:r w:rsidR="00851D75" w:rsidRPr="00B11CBB">
        <w:rPr>
          <w:rStyle w:val="Nagwek1Znak"/>
          <w:rFonts w:eastAsiaTheme="majorEastAsia" w:cs="Arial"/>
          <w:b/>
          <w:sz w:val="36"/>
          <w:szCs w:val="36"/>
        </w:rPr>
        <w:t xml:space="preserve">problematyki uzależnień </w:t>
      </w:r>
      <w:r w:rsidR="00463CBA" w:rsidRPr="00B11CBB">
        <w:rPr>
          <w:rStyle w:val="Nagwek1Znak"/>
          <w:rFonts w:eastAsiaTheme="majorEastAsia" w:cs="Arial"/>
          <w:b/>
          <w:sz w:val="36"/>
          <w:szCs w:val="36"/>
        </w:rPr>
        <w:br/>
      </w:r>
      <w:r w:rsidR="00851D75" w:rsidRPr="00B11CBB">
        <w:rPr>
          <w:rStyle w:val="Nagwek1Znak"/>
          <w:rFonts w:eastAsiaTheme="majorEastAsia" w:cs="Arial"/>
          <w:b/>
          <w:sz w:val="36"/>
          <w:szCs w:val="36"/>
        </w:rPr>
        <w:t>w województwie lubelskim w 2025 roku</w:t>
      </w:r>
      <w:bookmarkEnd w:id="0"/>
    </w:p>
    <w:bookmarkEnd w:id="1"/>
    <w:p w14:paraId="11A5C435" w14:textId="11019B5D" w:rsidR="001676E4" w:rsidRPr="001676E4" w:rsidRDefault="001676E4">
      <w:pPr>
        <w:spacing w:after="160" w:line="259" w:lineRule="auto"/>
        <w:rPr>
          <w:rFonts w:cs="Arial"/>
          <w:b/>
          <w:bCs/>
          <w:iCs/>
          <w:sz w:val="40"/>
          <w:szCs w:val="40"/>
        </w:rPr>
      </w:pPr>
      <w:r w:rsidRPr="001676E4">
        <w:rPr>
          <w:b/>
          <w:bCs/>
          <w:sz w:val="40"/>
          <w:szCs w:val="40"/>
        </w:rPr>
        <w:br w:type="page"/>
      </w:r>
    </w:p>
    <w:p w14:paraId="62393B6E" w14:textId="0D68DB2F" w:rsidR="009D2EFA" w:rsidRDefault="009D2EFA" w:rsidP="00904284">
      <w:pPr>
        <w:pStyle w:val="Nagwek1"/>
      </w:pPr>
      <w:bookmarkStart w:id="2" w:name="_Toc214277551"/>
      <w:r>
        <w:lastRenderedPageBreak/>
        <w:t>Wprowadzenie</w:t>
      </w:r>
      <w:bookmarkEnd w:id="2"/>
    </w:p>
    <w:p w14:paraId="64C8EB08" w14:textId="5238A9EA" w:rsidR="009D2EFA" w:rsidRPr="009D2EFA" w:rsidRDefault="009D2EFA" w:rsidP="009D2EFA">
      <w:pPr>
        <w:spacing w:after="0" w:line="360" w:lineRule="auto"/>
        <w:ind w:firstLine="708"/>
        <w:jc w:val="both"/>
        <w:rPr>
          <w:rFonts w:cs="Arial"/>
          <w:sz w:val="22"/>
          <w:szCs w:val="22"/>
        </w:rPr>
      </w:pPr>
      <w:r w:rsidRPr="009D2EFA">
        <w:rPr>
          <w:rFonts w:cs="Arial"/>
          <w:sz w:val="22"/>
          <w:szCs w:val="22"/>
        </w:rPr>
        <w:t>Opisane po</w:t>
      </w:r>
      <w:r w:rsidR="00955250" w:rsidRPr="00003CB8">
        <w:rPr>
          <w:rFonts w:cs="Arial"/>
          <w:sz w:val="22"/>
          <w:szCs w:val="22"/>
        </w:rPr>
        <w:t>ni</w:t>
      </w:r>
      <w:r w:rsidRPr="009D2EFA">
        <w:rPr>
          <w:rFonts w:cs="Arial"/>
          <w:sz w:val="22"/>
          <w:szCs w:val="22"/>
        </w:rPr>
        <w:t>żej zjawiska społeczno-demograficzne mają wpływ na sytuację związaną z</w:t>
      </w:r>
      <w:r w:rsidR="00003CB8">
        <w:rPr>
          <w:rFonts w:cs="Arial"/>
          <w:sz w:val="22"/>
          <w:szCs w:val="22"/>
        </w:rPr>
        <w:t> k</w:t>
      </w:r>
      <w:r w:rsidRPr="009D2EFA">
        <w:rPr>
          <w:rFonts w:cs="Arial"/>
          <w:sz w:val="22"/>
          <w:szCs w:val="22"/>
        </w:rPr>
        <w:t xml:space="preserve">ształtowaniem się postaw społecznych jak też działań instytucjonalnych związanych z problematyką </w:t>
      </w:r>
      <w:r w:rsidR="00955250" w:rsidRPr="00003CB8">
        <w:rPr>
          <w:rFonts w:cs="Arial"/>
          <w:sz w:val="22"/>
          <w:szCs w:val="22"/>
        </w:rPr>
        <w:t>uzależnień</w:t>
      </w:r>
      <w:r w:rsidRPr="009D2EFA">
        <w:rPr>
          <w:rFonts w:cs="Arial"/>
          <w:sz w:val="22"/>
          <w:szCs w:val="22"/>
        </w:rPr>
        <w:t>. Diagnoza województwa lubelskiego w zakresie monitorowania sytuacji związanej z </w:t>
      </w:r>
      <w:r w:rsidR="00955250" w:rsidRPr="00003CB8">
        <w:rPr>
          <w:rFonts w:cs="Arial"/>
          <w:sz w:val="22"/>
          <w:szCs w:val="22"/>
        </w:rPr>
        <w:t>uzależnieniami</w:t>
      </w:r>
      <w:r w:rsidRPr="009D2EFA">
        <w:rPr>
          <w:rFonts w:cs="Arial"/>
          <w:sz w:val="22"/>
          <w:szCs w:val="22"/>
        </w:rPr>
        <w:t xml:space="preserve"> powstała na podstawie:</w:t>
      </w:r>
    </w:p>
    <w:p w14:paraId="0AED8A9F" w14:textId="35D3AC2D" w:rsidR="009D2EFA" w:rsidRPr="009D2EFA" w:rsidRDefault="009D2EFA" w:rsidP="009D2EFA">
      <w:pPr>
        <w:numPr>
          <w:ilvl w:val="0"/>
          <w:numId w:val="54"/>
        </w:numPr>
        <w:spacing w:before="240" w:after="0" w:line="360" w:lineRule="auto"/>
        <w:contextualSpacing/>
        <w:jc w:val="both"/>
        <w:rPr>
          <w:rFonts w:cs="Arial"/>
          <w:sz w:val="22"/>
          <w:szCs w:val="22"/>
          <w:lang w:val="x-none" w:eastAsia="x-none"/>
        </w:rPr>
      </w:pPr>
      <w:bookmarkStart w:id="3" w:name="_Hlk44589788"/>
      <w:r w:rsidRPr="009D2EFA">
        <w:rPr>
          <w:rFonts w:cs="Arial"/>
          <w:sz w:val="22"/>
          <w:szCs w:val="22"/>
          <w:lang w:val="x-none" w:eastAsia="x-none"/>
        </w:rPr>
        <w:t>Raportu z wykonania i efektów realizacji</w:t>
      </w:r>
      <w:r w:rsidRPr="009D2EFA">
        <w:rPr>
          <w:rFonts w:cs="Arial"/>
          <w:sz w:val="22"/>
          <w:szCs w:val="22"/>
          <w:lang w:eastAsia="x-none"/>
        </w:rPr>
        <w:t xml:space="preserve"> </w:t>
      </w:r>
      <w:r w:rsidRPr="009D2EFA">
        <w:rPr>
          <w:rFonts w:cs="Arial"/>
          <w:sz w:val="22"/>
          <w:szCs w:val="22"/>
          <w:lang w:val="x-none" w:eastAsia="x-none"/>
        </w:rPr>
        <w:t>Wojewódzkiego Programu</w:t>
      </w:r>
      <w:r w:rsidRPr="009D2EFA">
        <w:rPr>
          <w:rFonts w:cs="Arial"/>
          <w:sz w:val="22"/>
          <w:szCs w:val="22"/>
          <w:lang w:eastAsia="x-none"/>
        </w:rPr>
        <w:t xml:space="preserve"> </w:t>
      </w:r>
      <w:r w:rsidRPr="009D2EFA">
        <w:rPr>
          <w:rFonts w:cs="Arial"/>
          <w:sz w:val="22"/>
          <w:szCs w:val="22"/>
          <w:lang w:val="x-none" w:eastAsia="x-none"/>
        </w:rPr>
        <w:t>Profilaktyki i</w:t>
      </w:r>
      <w:r w:rsidRPr="009D2EFA">
        <w:rPr>
          <w:rFonts w:cs="Arial"/>
          <w:sz w:val="22"/>
          <w:szCs w:val="22"/>
          <w:lang w:eastAsia="x-none"/>
        </w:rPr>
        <w:t> </w:t>
      </w:r>
      <w:r w:rsidRPr="009D2EFA">
        <w:rPr>
          <w:rFonts w:cs="Arial"/>
          <w:sz w:val="22"/>
          <w:szCs w:val="22"/>
          <w:lang w:val="x-none" w:eastAsia="x-none"/>
        </w:rPr>
        <w:t>Rozwiązywania Problemów Alkoholowych oraz Przeciwdziałania Narkomanii na lata 2022-2025</w:t>
      </w:r>
      <w:r w:rsidRPr="009D2EFA">
        <w:rPr>
          <w:rFonts w:cs="Arial"/>
          <w:sz w:val="22"/>
          <w:szCs w:val="22"/>
          <w:lang w:eastAsia="x-none"/>
        </w:rPr>
        <w:t xml:space="preserve"> za rok </w:t>
      </w:r>
      <w:r w:rsidR="00955250" w:rsidRPr="00003CB8">
        <w:rPr>
          <w:rFonts w:cs="Arial"/>
          <w:sz w:val="22"/>
          <w:szCs w:val="22"/>
          <w:lang w:eastAsia="x-none"/>
        </w:rPr>
        <w:t xml:space="preserve">2020, </w:t>
      </w:r>
      <w:bookmarkStart w:id="4" w:name="_Hlk214267305"/>
      <w:r w:rsidR="00955250" w:rsidRPr="00003CB8">
        <w:rPr>
          <w:rFonts w:cs="Arial"/>
          <w:sz w:val="22"/>
          <w:szCs w:val="22"/>
          <w:lang w:eastAsia="x-none"/>
        </w:rPr>
        <w:t xml:space="preserve">2021, 2022, </w:t>
      </w:r>
      <w:r w:rsidRPr="009D2EFA">
        <w:rPr>
          <w:rFonts w:cs="Arial"/>
          <w:sz w:val="22"/>
          <w:szCs w:val="22"/>
          <w:lang w:eastAsia="x-none"/>
        </w:rPr>
        <w:t>2023</w:t>
      </w:r>
      <w:bookmarkEnd w:id="4"/>
      <w:r w:rsidRPr="009D2EFA">
        <w:rPr>
          <w:rFonts w:cs="Arial"/>
          <w:sz w:val="22"/>
          <w:szCs w:val="22"/>
          <w:lang w:eastAsia="x-none"/>
        </w:rPr>
        <w:t xml:space="preserve"> </w:t>
      </w:r>
      <w:r w:rsidRPr="009D2EFA">
        <w:rPr>
          <w:rFonts w:cs="Arial"/>
          <w:sz w:val="22"/>
          <w:szCs w:val="22"/>
          <w:lang w:val="x-none" w:eastAsia="x-none"/>
        </w:rPr>
        <w:t xml:space="preserve">(ROPS w Lublinie, </w:t>
      </w:r>
      <w:r w:rsidR="00955250" w:rsidRPr="00003CB8">
        <w:rPr>
          <w:rFonts w:cs="Arial"/>
          <w:sz w:val="22"/>
          <w:szCs w:val="22"/>
          <w:lang w:val="x-none" w:eastAsia="x-none"/>
        </w:rPr>
        <w:t xml:space="preserve">2021, 2022, 2023, </w:t>
      </w:r>
      <w:r w:rsidRPr="009D2EFA">
        <w:rPr>
          <w:rFonts w:cs="Arial"/>
          <w:sz w:val="22"/>
          <w:szCs w:val="22"/>
          <w:lang w:val="x-none" w:eastAsia="x-none"/>
        </w:rPr>
        <w:t>202</w:t>
      </w:r>
      <w:r w:rsidRPr="009D2EFA">
        <w:rPr>
          <w:rFonts w:cs="Arial"/>
          <w:sz w:val="22"/>
          <w:szCs w:val="22"/>
          <w:lang w:eastAsia="x-none"/>
        </w:rPr>
        <w:t>4</w:t>
      </w:r>
      <w:r w:rsidRPr="009D2EFA">
        <w:rPr>
          <w:rFonts w:cs="Arial"/>
          <w:sz w:val="22"/>
          <w:szCs w:val="22"/>
          <w:lang w:val="x-none" w:eastAsia="x-none"/>
        </w:rPr>
        <w:t>)</w:t>
      </w:r>
      <w:r w:rsidR="00955250" w:rsidRPr="00003CB8">
        <w:rPr>
          <w:rFonts w:cs="Arial"/>
          <w:sz w:val="22"/>
          <w:szCs w:val="22"/>
          <w:lang w:val="x-none" w:eastAsia="x-none"/>
        </w:rPr>
        <w:t>.</w:t>
      </w:r>
    </w:p>
    <w:p w14:paraId="55EB9AC6" w14:textId="4043F1AE" w:rsidR="009D2EFA" w:rsidRPr="009D2EFA" w:rsidRDefault="009D2EFA" w:rsidP="009D2EFA">
      <w:pPr>
        <w:numPr>
          <w:ilvl w:val="0"/>
          <w:numId w:val="54"/>
        </w:numPr>
        <w:spacing w:before="240" w:after="0" w:line="360" w:lineRule="auto"/>
        <w:contextualSpacing/>
        <w:jc w:val="both"/>
        <w:rPr>
          <w:rFonts w:cs="Arial"/>
          <w:sz w:val="22"/>
          <w:szCs w:val="22"/>
          <w:lang w:val="x-none" w:eastAsia="x-none"/>
        </w:rPr>
      </w:pPr>
      <w:r w:rsidRPr="009D2EFA">
        <w:rPr>
          <w:rFonts w:cs="Arial"/>
          <w:sz w:val="22"/>
          <w:szCs w:val="22"/>
          <w:lang w:val="x-none" w:eastAsia="x-none"/>
        </w:rPr>
        <w:t>Oceny zasobów pomocy społecznej za 202</w:t>
      </w:r>
      <w:r w:rsidR="00955250" w:rsidRPr="00003CB8">
        <w:rPr>
          <w:rFonts w:cs="Arial"/>
          <w:sz w:val="22"/>
          <w:szCs w:val="22"/>
          <w:lang w:eastAsia="x-none"/>
        </w:rPr>
        <w:t>4</w:t>
      </w:r>
      <w:r w:rsidRPr="009D2EFA">
        <w:rPr>
          <w:rFonts w:cs="Arial"/>
          <w:sz w:val="22"/>
          <w:szCs w:val="22"/>
          <w:lang w:val="x-none" w:eastAsia="x-none"/>
        </w:rPr>
        <w:t xml:space="preserve"> r. (ROPS w Lublinie, 202</w:t>
      </w:r>
      <w:r w:rsidR="00955250" w:rsidRPr="00003CB8">
        <w:rPr>
          <w:rFonts w:cs="Arial"/>
          <w:sz w:val="22"/>
          <w:szCs w:val="22"/>
          <w:lang w:eastAsia="x-none"/>
        </w:rPr>
        <w:t>5</w:t>
      </w:r>
      <w:r w:rsidRPr="009D2EFA">
        <w:rPr>
          <w:rFonts w:cs="Arial"/>
          <w:sz w:val="22"/>
          <w:szCs w:val="22"/>
          <w:lang w:val="x-none" w:eastAsia="x-none"/>
        </w:rPr>
        <w:t>)</w:t>
      </w:r>
      <w:r w:rsidRPr="009D2EFA">
        <w:rPr>
          <w:rFonts w:cs="Arial"/>
          <w:sz w:val="22"/>
          <w:szCs w:val="22"/>
          <w:lang w:eastAsia="x-none"/>
        </w:rPr>
        <w:t>.</w:t>
      </w:r>
    </w:p>
    <w:p w14:paraId="4A9D93CB" w14:textId="60E40AC2" w:rsidR="009D2EFA" w:rsidRPr="009D2EFA" w:rsidRDefault="009D2EFA" w:rsidP="003B7931">
      <w:pPr>
        <w:numPr>
          <w:ilvl w:val="0"/>
          <w:numId w:val="54"/>
        </w:numPr>
        <w:spacing w:before="240" w:after="0" w:line="360" w:lineRule="auto"/>
        <w:contextualSpacing/>
        <w:jc w:val="both"/>
        <w:rPr>
          <w:rFonts w:cs="Arial"/>
          <w:sz w:val="22"/>
          <w:szCs w:val="22"/>
          <w:lang w:val="x-none" w:eastAsia="x-none"/>
        </w:rPr>
      </w:pPr>
      <w:r w:rsidRPr="009D2EFA">
        <w:rPr>
          <w:rFonts w:cs="Arial"/>
          <w:sz w:val="22"/>
          <w:szCs w:val="22"/>
          <w:lang w:val="x-none" w:eastAsia="x-none"/>
        </w:rPr>
        <w:t xml:space="preserve">Danych </w:t>
      </w:r>
      <w:r w:rsidR="00955250" w:rsidRPr="00003CB8">
        <w:rPr>
          <w:rFonts w:cs="Arial"/>
          <w:sz w:val="22"/>
          <w:szCs w:val="22"/>
          <w:lang w:val="x-none" w:eastAsia="x-none"/>
        </w:rPr>
        <w:t>udostępnionych</w:t>
      </w:r>
      <w:r w:rsidRPr="009D2EFA">
        <w:rPr>
          <w:rFonts w:cs="Arial"/>
          <w:sz w:val="22"/>
          <w:szCs w:val="22"/>
          <w:lang w:val="x-none" w:eastAsia="x-none"/>
        </w:rPr>
        <w:t xml:space="preserve"> przez</w:t>
      </w:r>
      <w:r w:rsidR="00955250" w:rsidRPr="00003CB8">
        <w:rPr>
          <w:rFonts w:cs="Arial"/>
          <w:sz w:val="22"/>
          <w:szCs w:val="22"/>
          <w:lang w:val="x-none" w:eastAsia="x-none"/>
        </w:rPr>
        <w:t xml:space="preserve"> członków</w:t>
      </w:r>
      <w:r w:rsidRPr="009D2EFA">
        <w:rPr>
          <w:rFonts w:cs="Arial"/>
          <w:sz w:val="22"/>
          <w:szCs w:val="22"/>
          <w:lang w:val="x-none" w:eastAsia="x-none"/>
        </w:rPr>
        <w:t xml:space="preserve"> </w:t>
      </w:r>
      <w:r w:rsidR="00955250" w:rsidRPr="00003CB8">
        <w:rPr>
          <w:rFonts w:cs="Arial"/>
          <w:sz w:val="22"/>
          <w:szCs w:val="22"/>
          <w:lang w:val="x-none" w:eastAsia="x-none"/>
        </w:rPr>
        <w:t>zespołu ds. opracowania Wojewódzkiego Programu Profilaktyki i Rozwiązywania Problemów Alkoholowych oraz Przeciwdziałania Narkomanii na lata 2026-2030</w:t>
      </w:r>
      <w:r w:rsidRPr="009D2EFA">
        <w:rPr>
          <w:rFonts w:cs="Arial"/>
          <w:sz w:val="22"/>
          <w:szCs w:val="22"/>
          <w:lang w:val="x-none" w:eastAsia="x-none"/>
        </w:rPr>
        <w:t>.</w:t>
      </w:r>
    </w:p>
    <w:p w14:paraId="1A3BA1DF" w14:textId="470EC7F5" w:rsidR="009D2EFA" w:rsidRPr="009D2EFA" w:rsidRDefault="009D2EFA" w:rsidP="009D2EFA">
      <w:pPr>
        <w:numPr>
          <w:ilvl w:val="0"/>
          <w:numId w:val="54"/>
        </w:numPr>
        <w:spacing w:before="240" w:after="0" w:line="360" w:lineRule="auto"/>
        <w:contextualSpacing/>
        <w:jc w:val="both"/>
        <w:rPr>
          <w:rFonts w:cs="Arial"/>
          <w:sz w:val="22"/>
          <w:szCs w:val="22"/>
          <w:lang w:val="x-none" w:eastAsia="x-none"/>
        </w:rPr>
      </w:pPr>
      <w:r w:rsidRPr="009D2EFA">
        <w:rPr>
          <w:rFonts w:cs="Arial"/>
          <w:sz w:val="22"/>
          <w:szCs w:val="22"/>
          <w:lang w:val="x-none" w:eastAsia="x-none"/>
        </w:rPr>
        <w:t>Raportu z badania prowadzonego w województwie lubelskim zgodnie z Europejskim Programem Badań Ankietowych w Szkołach ESPAD 2</w:t>
      </w:r>
      <w:r w:rsidR="00955250" w:rsidRPr="00003CB8">
        <w:rPr>
          <w:rFonts w:cs="Arial"/>
          <w:sz w:val="22"/>
          <w:szCs w:val="22"/>
          <w:lang w:val="x-none" w:eastAsia="x-none"/>
        </w:rPr>
        <w:t>015, 2019 oraz 2024</w:t>
      </w:r>
      <w:r w:rsidRPr="009D2EFA">
        <w:rPr>
          <w:rFonts w:cs="Arial"/>
          <w:sz w:val="22"/>
          <w:szCs w:val="22"/>
          <w:lang w:val="x-none" w:eastAsia="x-none"/>
        </w:rPr>
        <w:t xml:space="preserve"> (ang. </w:t>
      </w:r>
      <w:proofErr w:type="spellStart"/>
      <w:r w:rsidRPr="009D2EFA">
        <w:rPr>
          <w:rFonts w:cs="Arial"/>
          <w:sz w:val="22"/>
          <w:szCs w:val="22"/>
          <w:lang w:val="x-none" w:eastAsia="x-none"/>
        </w:rPr>
        <w:t>European</w:t>
      </w:r>
      <w:proofErr w:type="spellEnd"/>
      <w:r w:rsidRPr="009D2EFA">
        <w:rPr>
          <w:rFonts w:cs="Arial"/>
          <w:sz w:val="22"/>
          <w:szCs w:val="22"/>
          <w:lang w:val="x-none" w:eastAsia="x-none"/>
        </w:rPr>
        <w:t xml:space="preserve"> School Project on </w:t>
      </w:r>
      <w:proofErr w:type="spellStart"/>
      <w:r w:rsidRPr="009D2EFA">
        <w:rPr>
          <w:rFonts w:cs="Arial"/>
          <w:sz w:val="22"/>
          <w:szCs w:val="22"/>
          <w:lang w:val="x-none" w:eastAsia="x-none"/>
        </w:rPr>
        <w:t>Alcohol</w:t>
      </w:r>
      <w:proofErr w:type="spellEnd"/>
      <w:r w:rsidRPr="009D2EFA">
        <w:rPr>
          <w:rFonts w:cs="Arial"/>
          <w:sz w:val="22"/>
          <w:szCs w:val="22"/>
          <w:lang w:val="x-none" w:eastAsia="x-none"/>
        </w:rPr>
        <w:t xml:space="preserve"> and </w:t>
      </w:r>
      <w:proofErr w:type="spellStart"/>
      <w:r w:rsidRPr="009D2EFA">
        <w:rPr>
          <w:rFonts w:cs="Arial"/>
          <w:sz w:val="22"/>
          <w:szCs w:val="22"/>
          <w:lang w:val="x-none" w:eastAsia="x-none"/>
        </w:rPr>
        <w:t>Drugs</w:t>
      </w:r>
      <w:proofErr w:type="spellEnd"/>
      <w:r w:rsidRPr="009D2EFA">
        <w:rPr>
          <w:rFonts w:cs="Arial"/>
          <w:sz w:val="22"/>
          <w:szCs w:val="22"/>
          <w:lang w:val="x-none" w:eastAsia="x-none"/>
        </w:rPr>
        <w:t>). (Dąbrowska K., Sierosławski J.</w:t>
      </w:r>
      <w:r w:rsidR="00955250" w:rsidRPr="00003CB8">
        <w:rPr>
          <w:rFonts w:cs="Arial"/>
          <w:sz w:val="22"/>
          <w:szCs w:val="22"/>
          <w:lang w:val="x-none" w:eastAsia="x-none"/>
        </w:rPr>
        <w:t xml:space="preserve"> 2015,</w:t>
      </w:r>
      <w:r w:rsidRPr="009D2EFA">
        <w:rPr>
          <w:rFonts w:cs="Arial"/>
          <w:sz w:val="22"/>
          <w:szCs w:val="22"/>
          <w:lang w:val="x-none" w:eastAsia="x-none"/>
        </w:rPr>
        <w:t xml:space="preserve"> 2019</w:t>
      </w:r>
      <w:r w:rsidR="00955250" w:rsidRPr="00003CB8">
        <w:rPr>
          <w:rFonts w:cs="Arial"/>
          <w:sz w:val="22"/>
          <w:szCs w:val="22"/>
          <w:lang w:val="x-none" w:eastAsia="x-none"/>
        </w:rPr>
        <w:t xml:space="preserve"> oraz 2024</w:t>
      </w:r>
      <w:r w:rsidRPr="009D2EFA">
        <w:rPr>
          <w:rFonts w:cs="Arial"/>
          <w:sz w:val="22"/>
          <w:szCs w:val="22"/>
          <w:lang w:val="x-none" w:eastAsia="x-none"/>
        </w:rPr>
        <w:t>).</w:t>
      </w:r>
    </w:p>
    <w:p w14:paraId="7CBDBAA7" w14:textId="623A43DF" w:rsidR="009D2EFA" w:rsidRPr="00003CB8" w:rsidRDefault="009D2EFA" w:rsidP="009D2EFA">
      <w:pPr>
        <w:numPr>
          <w:ilvl w:val="0"/>
          <w:numId w:val="54"/>
        </w:numPr>
        <w:spacing w:before="240" w:after="0" w:line="360" w:lineRule="auto"/>
        <w:contextualSpacing/>
        <w:jc w:val="both"/>
        <w:rPr>
          <w:rFonts w:cs="Arial"/>
          <w:b/>
          <w:sz w:val="22"/>
          <w:szCs w:val="22"/>
          <w:lang w:val="x-none" w:eastAsia="x-none"/>
        </w:rPr>
      </w:pPr>
      <w:r w:rsidRPr="009D2EFA">
        <w:rPr>
          <w:rFonts w:cs="Arial"/>
          <w:sz w:val="22"/>
          <w:szCs w:val="22"/>
          <w:lang w:val="x-none" w:eastAsia="x-none"/>
        </w:rPr>
        <w:t>Raportu z badania społecznego</w:t>
      </w:r>
      <w:r w:rsidR="00955250" w:rsidRPr="00003CB8">
        <w:rPr>
          <w:rFonts w:cs="Arial"/>
          <w:sz w:val="22"/>
          <w:szCs w:val="22"/>
          <w:lang w:val="x-none" w:eastAsia="x-none"/>
        </w:rPr>
        <w:t>: ”Diagnoza województwa lubelskiego w zakresie używania substancji psychoaktywnych wśród osób dorosłych oraz ich dostępności”, zrealizowanego na zlecenie ROPS w Lublinie w 2025 roku przez Towarzystwo Nowa Kuźnia</w:t>
      </w:r>
      <w:r w:rsidRPr="009D2EFA">
        <w:rPr>
          <w:rFonts w:cs="Arial"/>
          <w:sz w:val="22"/>
          <w:szCs w:val="22"/>
          <w:lang w:val="x-none" w:eastAsia="x-none"/>
        </w:rPr>
        <w:t xml:space="preserve">. </w:t>
      </w:r>
    </w:p>
    <w:p w14:paraId="1DC8D328" w14:textId="31468961" w:rsidR="00955250" w:rsidRPr="009D2EFA" w:rsidRDefault="00955250" w:rsidP="00955250">
      <w:pPr>
        <w:spacing w:before="240" w:after="0" w:line="360" w:lineRule="auto"/>
        <w:contextualSpacing/>
        <w:jc w:val="both"/>
        <w:rPr>
          <w:rFonts w:cs="Arial"/>
          <w:bCs/>
          <w:sz w:val="22"/>
          <w:szCs w:val="22"/>
          <w:lang w:val="x-none" w:eastAsia="x-none"/>
        </w:rPr>
      </w:pPr>
      <w:r w:rsidRPr="00003CB8">
        <w:rPr>
          <w:rFonts w:cs="Arial"/>
          <w:bCs/>
          <w:sz w:val="22"/>
          <w:szCs w:val="22"/>
          <w:lang w:val="x-none" w:eastAsia="x-none"/>
        </w:rPr>
        <w:t xml:space="preserve">Szczegółowe informacje dotyczące powyższych dokumentów są dostępne w przytoczonych badaniach oraz na stronie </w:t>
      </w:r>
      <w:hyperlink r:id="rId8" w:history="1">
        <w:r w:rsidRPr="00003CB8">
          <w:rPr>
            <w:rStyle w:val="Hipercze"/>
            <w:rFonts w:cs="Arial"/>
            <w:bCs/>
            <w:sz w:val="22"/>
            <w:szCs w:val="22"/>
            <w:lang w:val="x-none" w:eastAsia="x-none"/>
          </w:rPr>
          <w:t>www.rops.lubelskie.pl</w:t>
        </w:r>
      </w:hyperlink>
      <w:r w:rsidRPr="00003CB8">
        <w:rPr>
          <w:rFonts w:cs="Arial"/>
          <w:bCs/>
          <w:sz w:val="22"/>
          <w:szCs w:val="22"/>
          <w:lang w:val="x-none" w:eastAsia="x-none"/>
        </w:rPr>
        <w:t>.</w:t>
      </w:r>
    </w:p>
    <w:bookmarkEnd w:id="3"/>
    <w:p w14:paraId="2AE7EA93" w14:textId="77777777" w:rsidR="00955250" w:rsidRDefault="00955250">
      <w:pPr>
        <w:spacing w:after="160" w:line="259" w:lineRule="auto"/>
        <w:rPr>
          <w:rFonts w:cs="Arial"/>
          <w:b/>
          <w:bCs/>
          <w:iCs/>
          <w:sz w:val="32"/>
          <w:szCs w:val="32"/>
        </w:rPr>
      </w:pPr>
      <w:r>
        <w:br w:type="page"/>
      </w:r>
    </w:p>
    <w:p w14:paraId="3281AFB7" w14:textId="63E031EB" w:rsidR="001676E4" w:rsidRPr="00317DE2" w:rsidRDefault="001676E4" w:rsidP="00802AFA">
      <w:pPr>
        <w:pStyle w:val="Nagwek1"/>
      </w:pPr>
      <w:bookmarkStart w:id="5" w:name="_Toc214277552"/>
      <w:r w:rsidRPr="00802AFA">
        <w:lastRenderedPageBreak/>
        <w:t>Diagnoza</w:t>
      </w:r>
      <w:r w:rsidRPr="00317DE2">
        <w:t xml:space="preserve"> problemu alkoholowego</w:t>
      </w:r>
      <w:bookmarkEnd w:id="5"/>
    </w:p>
    <w:p w14:paraId="343ED0DB" w14:textId="472B104B" w:rsidR="001676E4" w:rsidRPr="008D235F" w:rsidRDefault="001676E4" w:rsidP="001676E4">
      <w:pPr>
        <w:spacing w:after="0" w:line="360" w:lineRule="auto"/>
        <w:jc w:val="both"/>
        <w:rPr>
          <w:rFonts w:cs="Arial"/>
          <w:color w:val="0A0A0A"/>
          <w:sz w:val="22"/>
          <w:szCs w:val="22"/>
          <w:shd w:val="clear" w:color="auto" w:fill="FFFFFF"/>
        </w:rPr>
      </w:pPr>
      <w:r w:rsidRPr="00317DE2">
        <w:rPr>
          <w:rFonts w:cs="Arial"/>
          <w:sz w:val="22"/>
          <w:szCs w:val="22"/>
        </w:rPr>
        <w:tab/>
        <w:t xml:space="preserve">Alkohol jest najpopularniejszą używką na świecie. Substancja ta silnie </w:t>
      </w:r>
      <w:proofErr w:type="spellStart"/>
      <w:r w:rsidRPr="00317DE2">
        <w:rPr>
          <w:rFonts w:cs="Arial"/>
          <w:sz w:val="22"/>
          <w:szCs w:val="22"/>
        </w:rPr>
        <w:t>oddziaływuje</w:t>
      </w:r>
      <w:proofErr w:type="spellEnd"/>
      <w:r w:rsidRPr="00317DE2">
        <w:rPr>
          <w:rFonts w:cs="Arial"/>
          <w:sz w:val="22"/>
          <w:szCs w:val="22"/>
        </w:rPr>
        <w:t xml:space="preserve"> na ośrodkowy układ nerwowy człowieka. Spowalnia przekaz impulsów elektrycznych, prowadząc do rozluźnienie i poczucia zadowolenia. Nadmierne spożywanie alkoholu może powodować zmiany w osobowości. Osoby pijące często mają tendencje do ryzykownych, potencjalnie niebezpiecznych </w:t>
      </w:r>
      <w:proofErr w:type="spellStart"/>
      <w:r w:rsidRPr="00317DE2">
        <w:rPr>
          <w:rFonts w:cs="Arial"/>
          <w:sz w:val="22"/>
          <w:szCs w:val="22"/>
        </w:rPr>
        <w:t>zachowań</w:t>
      </w:r>
      <w:proofErr w:type="spellEnd"/>
      <w:r w:rsidRPr="00317DE2">
        <w:rPr>
          <w:rFonts w:cs="Arial"/>
          <w:sz w:val="22"/>
          <w:szCs w:val="22"/>
        </w:rPr>
        <w:t>. Doświadczają upośledzenia funkcji poznawczych, stają się impulsywne i agresywne. Nadużywanie alkoholu powoduje poważne konsekwencje zarówn</w:t>
      </w:r>
      <w:r w:rsidR="00334DF9">
        <w:rPr>
          <w:rFonts w:cs="Arial"/>
          <w:sz w:val="22"/>
          <w:szCs w:val="22"/>
        </w:rPr>
        <w:t xml:space="preserve">o </w:t>
      </w:r>
      <w:r w:rsidRPr="00317DE2">
        <w:rPr>
          <w:rFonts w:cs="Arial"/>
          <w:sz w:val="22"/>
          <w:szCs w:val="22"/>
        </w:rPr>
        <w:t xml:space="preserve">dla zdrowia psychicznego, jak i fizycznego. Według Światowej Organizacji Zdrowia (WHO) alkohol wpływa na rozwój </w:t>
      </w:r>
      <w:r w:rsidRPr="008D235F">
        <w:rPr>
          <w:rFonts w:cs="Arial"/>
          <w:sz w:val="22"/>
          <w:szCs w:val="22"/>
        </w:rPr>
        <w:t>ponad 200 rodzajów chorób i znajduje się na trzecim miejscu wśród czynników ryzyka dla zdrowia. Polska plasuje się na </w:t>
      </w:r>
      <w:r w:rsidRPr="008D235F">
        <w:rPr>
          <w:rStyle w:val="Pogrubienie"/>
          <w:rFonts w:cs="Arial"/>
          <w:b w:val="0"/>
          <w:bCs w:val="0"/>
          <w:color w:val="0A0A0A"/>
          <w:sz w:val="22"/>
          <w:szCs w:val="22"/>
          <w:shd w:val="clear" w:color="auto" w:fill="FFFFFF"/>
        </w:rPr>
        <w:t>17 miejscu w Europie</w:t>
      </w:r>
      <w:r w:rsidRPr="008D235F">
        <w:rPr>
          <w:rFonts w:cs="Arial"/>
          <w:color w:val="0A0A0A"/>
          <w:sz w:val="22"/>
          <w:szCs w:val="22"/>
          <w:shd w:val="clear" w:color="auto" w:fill="FFFFFF"/>
        </w:rPr>
        <w:t> pod względem spożycia alkoholu, co umiejscawia ją </w:t>
      </w:r>
      <w:r w:rsidRPr="008D235F">
        <w:rPr>
          <w:rStyle w:val="Pogrubienie"/>
          <w:rFonts w:cs="Arial"/>
          <w:b w:val="0"/>
          <w:bCs w:val="0"/>
          <w:color w:val="0A0A0A"/>
          <w:sz w:val="22"/>
          <w:szCs w:val="22"/>
          <w:shd w:val="clear" w:color="auto" w:fill="FFFFFF"/>
        </w:rPr>
        <w:t>poniżej średniej unijnej</w:t>
      </w:r>
      <w:r w:rsidRPr="008D235F">
        <w:rPr>
          <w:rStyle w:val="Pogrubienie"/>
          <w:rFonts w:cs="Arial"/>
          <w:color w:val="0A0A0A"/>
          <w:sz w:val="22"/>
          <w:szCs w:val="22"/>
          <w:shd w:val="clear" w:color="auto" w:fill="FFFFFF"/>
        </w:rPr>
        <w:t xml:space="preserve"> </w:t>
      </w:r>
      <w:r w:rsidRPr="008D235F">
        <w:rPr>
          <w:rFonts w:cs="Arial"/>
          <w:color w:val="0A0A0A"/>
          <w:sz w:val="22"/>
          <w:szCs w:val="22"/>
          <w:shd w:val="clear" w:color="auto" w:fill="FFFFFF"/>
        </w:rPr>
        <w:t>z konsumpcją 8,93 litra na osobę, co jest poniżej unijnej średniej 10,7 litra. Polska zajmuje 3 miejsce w UE pod względem spożycia piwa, które jest dominującym rodzajem alkoholu w Polsce. Polska zajmuje 2 miejsce w UE pod względem liczby zgonów związanych z nadużywaniem alkoholu.</w:t>
      </w:r>
    </w:p>
    <w:p w14:paraId="68DF1F13" w14:textId="5A1CD972" w:rsidR="001676E4" w:rsidRPr="00317DE2" w:rsidRDefault="001676E4" w:rsidP="001676E4">
      <w:pPr>
        <w:spacing w:after="0" w:line="360" w:lineRule="auto"/>
        <w:ind w:firstLine="426"/>
        <w:jc w:val="both"/>
        <w:rPr>
          <w:rFonts w:cs="Arial"/>
          <w:sz w:val="22"/>
          <w:szCs w:val="22"/>
        </w:rPr>
      </w:pPr>
      <w:r w:rsidRPr="00317DE2">
        <w:rPr>
          <w:rFonts w:cs="Arial"/>
          <w:sz w:val="22"/>
          <w:szCs w:val="22"/>
        </w:rPr>
        <w:t>Zgodnie ze statystykami Krajowego Centrum Przeciwdziałania Uzależnieniom, alkoholizm w Polsce dotyka ok 700-900 tysięcy osób. Liczba Polaków, którzy nadużywają alkoholu, jest wyższa – szacuje się, że problem ten dotyczy więcej niż dwóch milionów ludzi w naszym kraju.</w:t>
      </w:r>
    </w:p>
    <w:p w14:paraId="52B7FA9C" w14:textId="215A86BE" w:rsidR="001676E4" w:rsidRDefault="001676E4" w:rsidP="001676E4">
      <w:pPr>
        <w:pStyle w:val="Legenda"/>
        <w:keepNext/>
      </w:pPr>
    </w:p>
    <w:p w14:paraId="6082FE8F" w14:textId="3824D517" w:rsidR="00CA082D" w:rsidRPr="0054713D" w:rsidRDefault="00CA082D" w:rsidP="00CA082D">
      <w:pPr>
        <w:pStyle w:val="Legenda"/>
        <w:keepNext/>
        <w:rPr>
          <w:sz w:val="20"/>
          <w:szCs w:val="16"/>
        </w:rPr>
      </w:pPr>
      <w:bookmarkStart w:id="6" w:name="_Toc214279686"/>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Pr="0054713D">
        <w:rPr>
          <w:noProof/>
          <w:sz w:val="20"/>
          <w:szCs w:val="16"/>
        </w:rPr>
        <w:t>1</w:t>
      </w:r>
      <w:r w:rsidRPr="0054713D">
        <w:rPr>
          <w:sz w:val="20"/>
          <w:szCs w:val="16"/>
        </w:rPr>
        <w:fldChar w:fldCharType="end"/>
      </w:r>
      <w:r w:rsidRPr="0054713D">
        <w:rPr>
          <w:sz w:val="20"/>
          <w:szCs w:val="16"/>
        </w:rPr>
        <w:t>. Średnie roczne spożycie napojów alkoholowych na 1 mieszkańca Polski w latach 2020-2023</w:t>
      </w:r>
      <w:bookmarkEnd w:id="6"/>
    </w:p>
    <w:tbl>
      <w:tblPr>
        <w:tblStyle w:val="Tabela-Siatka"/>
        <w:tblW w:w="9356" w:type="dxa"/>
        <w:tblInd w:w="108" w:type="dxa"/>
        <w:tblLook w:val="04A0" w:firstRow="1" w:lastRow="0" w:firstColumn="1" w:lastColumn="0" w:noHBand="0" w:noVBand="1"/>
      </w:tblPr>
      <w:tblGrid>
        <w:gridCol w:w="4820"/>
        <w:gridCol w:w="1134"/>
        <w:gridCol w:w="1134"/>
        <w:gridCol w:w="1134"/>
        <w:gridCol w:w="1134"/>
      </w:tblGrid>
      <w:tr w:rsidR="001676E4" w:rsidRPr="0054713D" w14:paraId="120D91FD" w14:textId="77777777" w:rsidTr="003D66E5">
        <w:trPr>
          <w:trHeight w:val="610"/>
          <w:tblHeader/>
        </w:trPr>
        <w:tc>
          <w:tcPr>
            <w:tcW w:w="4820" w:type="dxa"/>
            <w:vAlign w:val="center"/>
          </w:tcPr>
          <w:p w14:paraId="77162349" w14:textId="77777777" w:rsidR="001676E4" w:rsidRPr="0054713D" w:rsidRDefault="001676E4" w:rsidP="003D66E5">
            <w:pPr>
              <w:tabs>
                <w:tab w:val="left" w:pos="426"/>
              </w:tabs>
              <w:spacing w:after="120" w:line="240" w:lineRule="auto"/>
              <w:jc w:val="center"/>
              <w:rPr>
                <w:rFonts w:cs="Arial"/>
                <w:b/>
                <w:bCs/>
                <w:sz w:val="20"/>
                <w:szCs w:val="16"/>
              </w:rPr>
            </w:pPr>
            <w:r w:rsidRPr="0054713D">
              <w:rPr>
                <w:rFonts w:cs="Arial"/>
                <w:b/>
                <w:bCs/>
                <w:sz w:val="20"/>
                <w:szCs w:val="16"/>
              </w:rPr>
              <w:t>Wyszczególnienie</w:t>
            </w:r>
          </w:p>
        </w:tc>
        <w:tc>
          <w:tcPr>
            <w:tcW w:w="1134" w:type="dxa"/>
            <w:vAlign w:val="center"/>
          </w:tcPr>
          <w:p w14:paraId="2754A7F3" w14:textId="77777777" w:rsidR="001676E4" w:rsidRPr="0054713D" w:rsidRDefault="001676E4" w:rsidP="003D66E5">
            <w:pPr>
              <w:tabs>
                <w:tab w:val="left" w:pos="426"/>
              </w:tabs>
              <w:spacing w:after="120" w:line="240" w:lineRule="auto"/>
              <w:jc w:val="center"/>
              <w:rPr>
                <w:rFonts w:cs="Arial"/>
                <w:b/>
                <w:bCs/>
                <w:sz w:val="20"/>
                <w:szCs w:val="16"/>
              </w:rPr>
            </w:pPr>
            <w:r w:rsidRPr="0054713D">
              <w:rPr>
                <w:rFonts w:cs="Arial"/>
                <w:b/>
                <w:bCs/>
                <w:sz w:val="20"/>
                <w:szCs w:val="16"/>
              </w:rPr>
              <w:t>2020</w:t>
            </w:r>
          </w:p>
        </w:tc>
        <w:tc>
          <w:tcPr>
            <w:tcW w:w="1134" w:type="dxa"/>
            <w:vAlign w:val="center"/>
          </w:tcPr>
          <w:p w14:paraId="75BBD5A3" w14:textId="77777777" w:rsidR="001676E4" w:rsidRPr="0054713D" w:rsidRDefault="001676E4" w:rsidP="003D66E5">
            <w:pPr>
              <w:tabs>
                <w:tab w:val="left" w:pos="426"/>
              </w:tabs>
              <w:spacing w:after="120" w:line="240" w:lineRule="auto"/>
              <w:jc w:val="center"/>
              <w:rPr>
                <w:rFonts w:cs="Arial"/>
                <w:b/>
                <w:bCs/>
                <w:sz w:val="20"/>
                <w:szCs w:val="16"/>
              </w:rPr>
            </w:pPr>
            <w:r w:rsidRPr="0054713D">
              <w:rPr>
                <w:rFonts w:cs="Arial"/>
                <w:b/>
                <w:bCs/>
                <w:sz w:val="20"/>
                <w:szCs w:val="16"/>
              </w:rPr>
              <w:t>2021</w:t>
            </w:r>
          </w:p>
        </w:tc>
        <w:tc>
          <w:tcPr>
            <w:tcW w:w="1134" w:type="dxa"/>
            <w:vAlign w:val="center"/>
          </w:tcPr>
          <w:p w14:paraId="41FFCF8B" w14:textId="77777777" w:rsidR="001676E4" w:rsidRPr="0054713D" w:rsidRDefault="001676E4" w:rsidP="003D66E5">
            <w:pPr>
              <w:tabs>
                <w:tab w:val="left" w:pos="426"/>
              </w:tabs>
              <w:spacing w:after="120" w:line="240" w:lineRule="auto"/>
              <w:jc w:val="center"/>
              <w:rPr>
                <w:rFonts w:cs="Arial"/>
                <w:b/>
                <w:bCs/>
                <w:sz w:val="20"/>
                <w:szCs w:val="16"/>
              </w:rPr>
            </w:pPr>
            <w:r w:rsidRPr="0054713D">
              <w:rPr>
                <w:rFonts w:cs="Arial"/>
                <w:b/>
                <w:bCs/>
                <w:sz w:val="20"/>
                <w:szCs w:val="16"/>
              </w:rPr>
              <w:t>2022</w:t>
            </w:r>
          </w:p>
        </w:tc>
        <w:tc>
          <w:tcPr>
            <w:tcW w:w="1134" w:type="dxa"/>
            <w:vAlign w:val="center"/>
          </w:tcPr>
          <w:p w14:paraId="0DC9CEC2" w14:textId="77777777" w:rsidR="001676E4" w:rsidRPr="0054713D" w:rsidRDefault="001676E4" w:rsidP="003D66E5">
            <w:pPr>
              <w:tabs>
                <w:tab w:val="left" w:pos="426"/>
              </w:tabs>
              <w:spacing w:after="120" w:line="240" w:lineRule="auto"/>
              <w:jc w:val="center"/>
              <w:rPr>
                <w:rFonts w:cs="Arial"/>
                <w:b/>
                <w:bCs/>
                <w:sz w:val="20"/>
                <w:szCs w:val="16"/>
              </w:rPr>
            </w:pPr>
            <w:r w:rsidRPr="0054713D">
              <w:rPr>
                <w:rFonts w:cs="Arial"/>
                <w:b/>
                <w:bCs/>
                <w:sz w:val="20"/>
                <w:szCs w:val="16"/>
              </w:rPr>
              <w:t>2023</w:t>
            </w:r>
          </w:p>
        </w:tc>
      </w:tr>
      <w:tr w:rsidR="001676E4" w:rsidRPr="0054713D" w14:paraId="01D9AE89" w14:textId="77777777" w:rsidTr="003D66E5">
        <w:tc>
          <w:tcPr>
            <w:tcW w:w="4820" w:type="dxa"/>
            <w:vAlign w:val="center"/>
          </w:tcPr>
          <w:p w14:paraId="2DA66284"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Średnie roczne spożycie 100% alkoholu na 1 osobę w litrach, w tym:</w:t>
            </w:r>
          </w:p>
        </w:tc>
        <w:tc>
          <w:tcPr>
            <w:tcW w:w="1134" w:type="dxa"/>
            <w:vAlign w:val="center"/>
          </w:tcPr>
          <w:p w14:paraId="631E1FFE"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9,65</w:t>
            </w:r>
          </w:p>
        </w:tc>
        <w:tc>
          <w:tcPr>
            <w:tcW w:w="1134" w:type="dxa"/>
            <w:vAlign w:val="center"/>
          </w:tcPr>
          <w:p w14:paraId="15BE3C67"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9,73</w:t>
            </w:r>
          </w:p>
        </w:tc>
        <w:tc>
          <w:tcPr>
            <w:tcW w:w="1134" w:type="dxa"/>
            <w:vAlign w:val="center"/>
          </w:tcPr>
          <w:p w14:paraId="3E1FE8D3"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9,37</w:t>
            </w:r>
          </w:p>
        </w:tc>
        <w:tc>
          <w:tcPr>
            <w:tcW w:w="1134" w:type="dxa"/>
            <w:vAlign w:val="center"/>
          </w:tcPr>
          <w:p w14:paraId="6933C356"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8,93</w:t>
            </w:r>
          </w:p>
        </w:tc>
      </w:tr>
      <w:tr w:rsidR="00003CB8" w:rsidRPr="0054713D" w14:paraId="797092F0" w14:textId="77777777" w:rsidTr="003D66E5">
        <w:trPr>
          <w:trHeight w:val="528"/>
        </w:trPr>
        <w:tc>
          <w:tcPr>
            <w:tcW w:w="4820" w:type="dxa"/>
            <w:vAlign w:val="center"/>
          </w:tcPr>
          <w:p w14:paraId="17096DA7"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Wyroby spirytusowe (100% alkoholu)</w:t>
            </w:r>
          </w:p>
        </w:tc>
        <w:tc>
          <w:tcPr>
            <w:tcW w:w="1134" w:type="dxa"/>
            <w:vAlign w:val="center"/>
          </w:tcPr>
          <w:p w14:paraId="5FC055C4"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3,7</w:t>
            </w:r>
          </w:p>
        </w:tc>
        <w:tc>
          <w:tcPr>
            <w:tcW w:w="1134" w:type="dxa"/>
            <w:vAlign w:val="center"/>
          </w:tcPr>
          <w:p w14:paraId="70A73696"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3,8</w:t>
            </w:r>
          </w:p>
        </w:tc>
        <w:tc>
          <w:tcPr>
            <w:tcW w:w="1134" w:type="dxa"/>
            <w:vAlign w:val="center"/>
          </w:tcPr>
          <w:p w14:paraId="59E61865"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3,5</w:t>
            </w:r>
          </w:p>
        </w:tc>
        <w:tc>
          <w:tcPr>
            <w:tcW w:w="1134" w:type="dxa"/>
            <w:vAlign w:val="center"/>
          </w:tcPr>
          <w:p w14:paraId="6B42B6ED"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3,4</w:t>
            </w:r>
          </w:p>
        </w:tc>
      </w:tr>
      <w:tr w:rsidR="00003CB8" w:rsidRPr="0054713D" w14:paraId="44CE3F7C" w14:textId="77777777" w:rsidTr="003D66E5">
        <w:tc>
          <w:tcPr>
            <w:tcW w:w="4820" w:type="dxa"/>
            <w:vAlign w:val="center"/>
          </w:tcPr>
          <w:p w14:paraId="6EC1F04E"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Wyroby spirytusowe w liczbach bezwzględnych w litrach</w:t>
            </w:r>
          </w:p>
        </w:tc>
        <w:tc>
          <w:tcPr>
            <w:tcW w:w="1134" w:type="dxa"/>
            <w:vAlign w:val="center"/>
          </w:tcPr>
          <w:p w14:paraId="212CC890"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3,7</w:t>
            </w:r>
          </w:p>
        </w:tc>
        <w:tc>
          <w:tcPr>
            <w:tcW w:w="1134" w:type="dxa"/>
            <w:vAlign w:val="center"/>
          </w:tcPr>
          <w:p w14:paraId="4E170943"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3,8</w:t>
            </w:r>
          </w:p>
        </w:tc>
        <w:tc>
          <w:tcPr>
            <w:tcW w:w="1134" w:type="dxa"/>
            <w:vAlign w:val="center"/>
          </w:tcPr>
          <w:p w14:paraId="64CB3E15"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3,5</w:t>
            </w:r>
          </w:p>
        </w:tc>
        <w:tc>
          <w:tcPr>
            <w:tcW w:w="1134" w:type="dxa"/>
            <w:vAlign w:val="center"/>
          </w:tcPr>
          <w:p w14:paraId="6419974D"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3,4</w:t>
            </w:r>
          </w:p>
        </w:tc>
      </w:tr>
      <w:tr w:rsidR="00003CB8" w:rsidRPr="0054713D" w14:paraId="1B1435B6" w14:textId="77777777" w:rsidTr="003D66E5">
        <w:trPr>
          <w:trHeight w:val="584"/>
        </w:trPr>
        <w:tc>
          <w:tcPr>
            <w:tcW w:w="4820" w:type="dxa"/>
            <w:vAlign w:val="center"/>
          </w:tcPr>
          <w:p w14:paraId="37666212"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Wino i miody pitne w przeliczeniu na 100% alkohol</w:t>
            </w:r>
          </w:p>
        </w:tc>
        <w:tc>
          <w:tcPr>
            <w:tcW w:w="1134" w:type="dxa"/>
            <w:vAlign w:val="center"/>
          </w:tcPr>
          <w:p w14:paraId="6DCD2733"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0,77</w:t>
            </w:r>
          </w:p>
        </w:tc>
        <w:tc>
          <w:tcPr>
            <w:tcW w:w="1134" w:type="dxa"/>
            <w:vAlign w:val="center"/>
          </w:tcPr>
          <w:p w14:paraId="7265C77C"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0,80</w:t>
            </w:r>
          </w:p>
        </w:tc>
        <w:tc>
          <w:tcPr>
            <w:tcW w:w="1134" w:type="dxa"/>
            <w:vAlign w:val="center"/>
          </w:tcPr>
          <w:p w14:paraId="45A2D8E8"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0,76</w:t>
            </w:r>
          </w:p>
        </w:tc>
        <w:tc>
          <w:tcPr>
            <w:tcW w:w="1134" w:type="dxa"/>
            <w:vAlign w:val="center"/>
          </w:tcPr>
          <w:p w14:paraId="136815AC"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0,72</w:t>
            </w:r>
          </w:p>
        </w:tc>
      </w:tr>
      <w:tr w:rsidR="00003CB8" w:rsidRPr="0054713D" w14:paraId="5B0DE1A1" w14:textId="77777777" w:rsidTr="003D66E5">
        <w:tc>
          <w:tcPr>
            <w:tcW w:w="4820" w:type="dxa"/>
            <w:vAlign w:val="center"/>
          </w:tcPr>
          <w:p w14:paraId="715D52DE"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Wino i miody pitne w liczbach bezwzględnych w litrach</w:t>
            </w:r>
          </w:p>
        </w:tc>
        <w:tc>
          <w:tcPr>
            <w:tcW w:w="1134" w:type="dxa"/>
            <w:vAlign w:val="center"/>
          </w:tcPr>
          <w:p w14:paraId="244100FE" w14:textId="2FF591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6,5</w:t>
            </w:r>
          </w:p>
        </w:tc>
        <w:tc>
          <w:tcPr>
            <w:tcW w:w="1134" w:type="dxa"/>
            <w:vAlign w:val="center"/>
          </w:tcPr>
          <w:p w14:paraId="6CCFCAF1" w14:textId="4E9910EE"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6,7</w:t>
            </w:r>
          </w:p>
        </w:tc>
        <w:tc>
          <w:tcPr>
            <w:tcW w:w="1134" w:type="dxa"/>
            <w:vAlign w:val="center"/>
          </w:tcPr>
          <w:p w14:paraId="7AA96201" w14:textId="0203ED23"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6,3</w:t>
            </w:r>
          </w:p>
        </w:tc>
        <w:tc>
          <w:tcPr>
            <w:tcW w:w="1134" w:type="dxa"/>
            <w:vAlign w:val="center"/>
          </w:tcPr>
          <w:p w14:paraId="4F21B447" w14:textId="615454FF"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 xml:space="preserve">6,8 </w:t>
            </w:r>
          </w:p>
        </w:tc>
      </w:tr>
      <w:tr w:rsidR="00003CB8" w:rsidRPr="0054713D" w14:paraId="28ABB111" w14:textId="77777777" w:rsidTr="003D66E5">
        <w:trPr>
          <w:trHeight w:val="491"/>
        </w:trPr>
        <w:tc>
          <w:tcPr>
            <w:tcW w:w="4820" w:type="dxa"/>
            <w:vAlign w:val="center"/>
          </w:tcPr>
          <w:p w14:paraId="3E95D586"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Piwo w przeliczeniu na 100% alkohol</w:t>
            </w:r>
          </w:p>
        </w:tc>
        <w:tc>
          <w:tcPr>
            <w:tcW w:w="1134" w:type="dxa"/>
            <w:vAlign w:val="center"/>
          </w:tcPr>
          <w:p w14:paraId="152D4F12"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5,17</w:t>
            </w:r>
          </w:p>
        </w:tc>
        <w:tc>
          <w:tcPr>
            <w:tcW w:w="1134" w:type="dxa"/>
            <w:vAlign w:val="center"/>
          </w:tcPr>
          <w:p w14:paraId="063F33C5"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5,13</w:t>
            </w:r>
          </w:p>
        </w:tc>
        <w:tc>
          <w:tcPr>
            <w:tcW w:w="1134" w:type="dxa"/>
            <w:vAlign w:val="center"/>
          </w:tcPr>
          <w:p w14:paraId="41B1B1F5"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5,11</w:t>
            </w:r>
          </w:p>
        </w:tc>
        <w:tc>
          <w:tcPr>
            <w:tcW w:w="1134" w:type="dxa"/>
            <w:vAlign w:val="center"/>
          </w:tcPr>
          <w:p w14:paraId="5904CFFB"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4,81</w:t>
            </w:r>
          </w:p>
        </w:tc>
      </w:tr>
      <w:tr w:rsidR="00003CB8" w:rsidRPr="0054713D" w14:paraId="4A04E522" w14:textId="77777777" w:rsidTr="003D66E5">
        <w:trPr>
          <w:trHeight w:val="554"/>
        </w:trPr>
        <w:tc>
          <w:tcPr>
            <w:tcW w:w="4820" w:type="dxa"/>
            <w:vAlign w:val="center"/>
          </w:tcPr>
          <w:p w14:paraId="5DB4ADB2" w14:textId="77777777"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Piwo w liczbach bezwzględnych w litrach</w:t>
            </w:r>
          </w:p>
        </w:tc>
        <w:tc>
          <w:tcPr>
            <w:tcW w:w="1134" w:type="dxa"/>
            <w:vAlign w:val="center"/>
          </w:tcPr>
          <w:p w14:paraId="77785B4E" w14:textId="2375ACF3"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94,0</w:t>
            </w:r>
          </w:p>
        </w:tc>
        <w:tc>
          <w:tcPr>
            <w:tcW w:w="1134" w:type="dxa"/>
            <w:vAlign w:val="center"/>
          </w:tcPr>
          <w:p w14:paraId="5F53B0C7" w14:textId="0FD9CB49"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93,2</w:t>
            </w:r>
          </w:p>
        </w:tc>
        <w:tc>
          <w:tcPr>
            <w:tcW w:w="1134" w:type="dxa"/>
            <w:vAlign w:val="center"/>
          </w:tcPr>
          <w:p w14:paraId="28B19C6F" w14:textId="0389A150"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92,9</w:t>
            </w:r>
          </w:p>
        </w:tc>
        <w:tc>
          <w:tcPr>
            <w:tcW w:w="1134" w:type="dxa"/>
            <w:vAlign w:val="center"/>
          </w:tcPr>
          <w:p w14:paraId="40CB1582" w14:textId="50472BB5" w:rsidR="001676E4" w:rsidRPr="0054713D" w:rsidRDefault="001676E4" w:rsidP="003D66E5">
            <w:pPr>
              <w:tabs>
                <w:tab w:val="left" w:pos="426"/>
              </w:tabs>
              <w:spacing w:after="120" w:line="240" w:lineRule="auto"/>
              <w:jc w:val="center"/>
              <w:rPr>
                <w:rFonts w:cs="Arial"/>
                <w:sz w:val="20"/>
                <w:szCs w:val="16"/>
              </w:rPr>
            </w:pPr>
            <w:r w:rsidRPr="0054713D">
              <w:rPr>
                <w:rFonts w:cs="Arial"/>
                <w:sz w:val="20"/>
                <w:szCs w:val="16"/>
              </w:rPr>
              <w:t xml:space="preserve">87,4 </w:t>
            </w:r>
          </w:p>
        </w:tc>
      </w:tr>
    </w:tbl>
    <w:p w14:paraId="38D71913" w14:textId="65D7C7DB" w:rsidR="001676E4" w:rsidRPr="00003CB8" w:rsidRDefault="001676E4" w:rsidP="001676E4">
      <w:pPr>
        <w:spacing w:after="0" w:line="240" w:lineRule="auto"/>
        <w:ind w:firstLine="425"/>
        <w:jc w:val="both"/>
        <w:rPr>
          <w:rFonts w:cs="Arial"/>
          <w:sz w:val="18"/>
          <w:szCs w:val="18"/>
        </w:rPr>
      </w:pPr>
      <w:r w:rsidRPr="00003CB8">
        <w:rPr>
          <w:rFonts w:cs="Arial"/>
          <w:sz w:val="18"/>
          <w:szCs w:val="18"/>
        </w:rPr>
        <w:t xml:space="preserve">Źródło: Opracowanie własne na podstawie danych Głównego Urzędu Statystycznego i </w:t>
      </w:r>
      <w:r w:rsidR="00003CB8" w:rsidRPr="00003CB8">
        <w:rPr>
          <w:rFonts w:cs="Arial"/>
          <w:sz w:val="18"/>
          <w:szCs w:val="18"/>
        </w:rPr>
        <w:t>Krajowego Centrum Przeciwdziałania Uzależnieniom</w:t>
      </w:r>
    </w:p>
    <w:p w14:paraId="2EE9D1EF" w14:textId="77777777" w:rsidR="001676E4" w:rsidRPr="00003CB8" w:rsidRDefault="001676E4" w:rsidP="001676E4">
      <w:pPr>
        <w:spacing w:after="0" w:line="360" w:lineRule="auto"/>
        <w:ind w:firstLine="426"/>
        <w:jc w:val="both"/>
        <w:rPr>
          <w:rFonts w:cs="Arial"/>
          <w:sz w:val="22"/>
          <w:szCs w:val="22"/>
        </w:rPr>
      </w:pPr>
    </w:p>
    <w:p w14:paraId="72F10EE2" w14:textId="77777777" w:rsidR="001676E4" w:rsidRPr="00317DE2" w:rsidRDefault="001676E4" w:rsidP="001676E4">
      <w:pPr>
        <w:spacing w:line="240" w:lineRule="auto"/>
        <w:jc w:val="both"/>
        <w:rPr>
          <w:rFonts w:cs="Arial"/>
          <w:b/>
          <w:bCs/>
          <w:sz w:val="22"/>
          <w:szCs w:val="22"/>
        </w:rPr>
      </w:pPr>
    </w:p>
    <w:p w14:paraId="24D4F548" w14:textId="77777777" w:rsidR="001676E4" w:rsidRPr="00317DE2" w:rsidRDefault="001676E4" w:rsidP="00B11CBB">
      <w:pPr>
        <w:pStyle w:val="Nagwek2"/>
      </w:pPr>
      <w:bookmarkStart w:id="7" w:name="_Toc198471469"/>
      <w:bookmarkStart w:id="8" w:name="_Toc214277553"/>
      <w:r w:rsidRPr="00317DE2">
        <w:lastRenderedPageBreak/>
        <w:t>Alkohol - rozpowszechnienie i problemy związane z jego używaniem</w:t>
      </w:r>
      <w:bookmarkEnd w:id="7"/>
      <w:bookmarkEnd w:id="8"/>
    </w:p>
    <w:p w14:paraId="18D28454" w14:textId="1FCEE034" w:rsidR="001676E4" w:rsidRPr="00317DE2" w:rsidRDefault="001676E4" w:rsidP="0054713D">
      <w:pPr>
        <w:pStyle w:val="Tekstpodstawowy"/>
        <w:spacing w:line="360" w:lineRule="auto"/>
        <w:ind w:firstLine="709"/>
        <w:jc w:val="both"/>
        <w:rPr>
          <w:rFonts w:ascii="Arial" w:hAnsi="Arial" w:cs="Arial"/>
          <w:sz w:val="22"/>
          <w:szCs w:val="22"/>
        </w:rPr>
      </w:pPr>
      <w:r w:rsidRPr="00317DE2">
        <w:rPr>
          <w:rFonts w:ascii="Arial" w:hAnsi="Arial" w:cs="Arial"/>
          <w:sz w:val="22"/>
          <w:szCs w:val="22"/>
        </w:rPr>
        <w:t xml:space="preserve"> W pierwszej kolejności zaprezentowane zostało używanie alkohol</w:t>
      </w:r>
      <w:r w:rsidR="002D07B8">
        <w:rPr>
          <w:rFonts w:ascii="Arial" w:hAnsi="Arial" w:cs="Arial"/>
          <w:sz w:val="22"/>
          <w:szCs w:val="22"/>
        </w:rPr>
        <w:t>u</w:t>
      </w:r>
      <w:r w:rsidR="00003CB8">
        <w:rPr>
          <w:rFonts w:ascii="Arial" w:hAnsi="Arial" w:cs="Arial"/>
          <w:sz w:val="22"/>
          <w:szCs w:val="22"/>
        </w:rPr>
        <w:t xml:space="preserve"> na podstawie danych z badania dorosłych mieszkańców województwa lubelskiego</w:t>
      </w:r>
      <w:r w:rsidRPr="00317DE2">
        <w:rPr>
          <w:rFonts w:ascii="Arial" w:hAnsi="Arial" w:cs="Arial"/>
          <w:sz w:val="22"/>
          <w:szCs w:val="22"/>
        </w:rPr>
        <w:t xml:space="preserve">. </w:t>
      </w:r>
    </w:p>
    <w:p w14:paraId="5F2B54B1" w14:textId="7E09BF90" w:rsidR="001676E4" w:rsidRPr="0054713D" w:rsidRDefault="001676E4" w:rsidP="0054713D">
      <w:pPr>
        <w:pStyle w:val="Legenda"/>
        <w:keepNext/>
        <w:spacing w:line="30" w:lineRule="atLeast"/>
        <w:rPr>
          <w:sz w:val="20"/>
          <w:szCs w:val="16"/>
        </w:rPr>
      </w:pPr>
      <w:bookmarkStart w:id="9" w:name="_Toc214279918"/>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1</w:t>
      </w:r>
      <w:r w:rsidRPr="0054713D">
        <w:rPr>
          <w:sz w:val="20"/>
          <w:szCs w:val="16"/>
        </w:rPr>
        <w:fldChar w:fldCharType="end"/>
      </w:r>
      <w:r w:rsidRPr="0054713D">
        <w:rPr>
          <w:sz w:val="20"/>
          <w:szCs w:val="16"/>
        </w:rPr>
        <w:t>. Używanie poszczególnych rodzajów alkoholu przez młodych dorosłych ciągu ostatnich 30 dni – woj</w:t>
      </w:r>
      <w:r w:rsidR="00802AFA" w:rsidRPr="0054713D">
        <w:rPr>
          <w:sz w:val="20"/>
          <w:szCs w:val="16"/>
        </w:rPr>
        <w:t>ewództwo</w:t>
      </w:r>
      <w:r w:rsidRPr="0054713D">
        <w:rPr>
          <w:sz w:val="20"/>
          <w:szCs w:val="16"/>
        </w:rPr>
        <w:t xml:space="preserve"> lubelskie</w:t>
      </w:r>
      <w:bookmarkEnd w:id="9"/>
    </w:p>
    <w:p w14:paraId="1C5D03C3" w14:textId="77777777" w:rsidR="001676E4" w:rsidRPr="00317DE2" w:rsidRDefault="001676E4" w:rsidP="001676E4">
      <w:pPr>
        <w:spacing w:line="360" w:lineRule="auto"/>
        <w:jc w:val="center"/>
        <w:rPr>
          <w:rFonts w:cs="Arial"/>
          <w:noProof/>
          <w:sz w:val="22"/>
          <w:szCs w:val="22"/>
        </w:rPr>
      </w:pPr>
      <w:r w:rsidRPr="00317DE2">
        <w:rPr>
          <w:rFonts w:cs="Arial"/>
          <w:noProof/>
          <w:sz w:val="22"/>
          <w:szCs w:val="22"/>
        </w:rPr>
        <w:drawing>
          <wp:inline distT="0" distB="0" distL="0" distR="0" wp14:anchorId="3F6BC50A" wp14:editId="2472EBF9">
            <wp:extent cx="5867400" cy="3065145"/>
            <wp:effectExtent l="0" t="0" r="0" b="1905"/>
            <wp:docPr id="1244837508" name="Wykres 1" descr="Używanie poszczególnych rodzajów alkoholu przez młodych dorosłych ciągu ostatnich 30 dni – woj. lubelskie">
              <a:extLst xmlns:a="http://schemas.openxmlformats.org/drawingml/2006/main">
                <a:ext uri="{FF2B5EF4-FFF2-40B4-BE49-F238E27FC236}">
                  <a16:creationId xmlns:a16="http://schemas.microsoft.com/office/drawing/2014/main" id="{0B3A60EE-58EB-7D94-CF61-D2AEDD3C3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455B57" w14:textId="2E67AA76"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3766142D" w14:textId="0FC1361B" w:rsidR="001676E4" w:rsidRPr="008D235F" w:rsidRDefault="001676E4" w:rsidP="0054713D">
      <w:pPr>
        <w:spacing w:before="100" w:beforeAutospacing="1" w:after="0" w:line="360" w:lineRule="auto"/>
        <w:ind w:firstLine="567"/>
        <w:jc w:val="both"/>
        <w:rPr>
          <w:rFonts w:cs="Arial"/>
          <w:sz w:val="22"/>
          <w:szCs w:val="22"/>
        </w:rPr>
      </w:pPr>
      <w:r w:rsidRPr="00317DE2">
        <w:rPr>
          <w:rFonts w:cs="Arial"/>
          <w:sz w:val="22"/>
          <w:szCs w:val="22"/>
        </w:rPr>
        <w:t xml:space="preserve">Wykres nr 1 przedstawia używanie poszczególnych rodzajów alkoholu przez młodych dorosłych </w:t>
      </w:r>
      <w:r w:rsidRPr="008D235F">
        <w:rPr>
          <w:rFonts w:cs="Arial"/>
          <w:sz w:val="22"/>
          <w:szCs w:val="22"/>
        </w:rPr>
        <w:t xml:space="preserve">w ciągu ostatnich 30 dni w województwie lubelskim, z uwzględnieniem częstotliwości spożycia. Najwyższe wartości odnotowano dla piwa – aż 33,5% badanych deklarowało jego spożycie od 5 do 10 razy, a 28% od 2 do 4 razy. Codzienne picie piwa zadeklarowało 6,9% osób. Drugim najczęściej spożywanym alkoholem było wino – najwięcej osób (16,3%) piło je od 2 do 4 razy, a kolejne 8,9% od 5 do 10 razy. Na trzecim miejscu znalazła się wódka – 13% respondentów spożyło ją od 2 do 4 razy, a 12,1% tylko raz. Warto także zwrócić uwagę na cydr, który najczęściej był spożywany od 2 do 4 razy (9,7%) oraz jeden raz (5,4%). Mniej popularne były: bimber (najczęściej spożywany raz – 4%), miód pitny (3,3% - jeden raz), oraz </w:t>
      </w:r>
      <w:proofErr w:type="spellStart"/>
      <w:r w:rsidRPr="008D235F">
        <w:rPr>
          <w:rFonts w:cs="Arial"/>
          <w:sz w:val="22"/>
          <w:szCs w:val="22"/>
        </w:rPr>
        <w:t>alcopoppy</w:t>
      </w:r>
      <w:proofErr w:type="spellEnd"/>
      <w:r w:rsidRPr="008D235F">
        <w:rPr>
          <w:rFonts w:cs="Arial"/>
          <w:sz w:val="22"/>
          <w:szCs w:val="22"/>
        </w:rPr>
        <w:t xml:space="preserve"> (4% - jeden raz). Pozostałe częstotliwości spożycia tych napojów były marginalne.</w:t>
      </w:r>
    </w:p>
    <w:p w14:paraId="6220CEFF" w14:textId="77777777" w:rsidR="001676E4" w:rsidRPr="008D235F" w:rsidRDefault="001676E4" w:rsidP="0054713D">
      <w:pPr>
        <w:spacing w:line="360" w:lineRule="auto"/>
        <w:ind w:firstLine="567"/>
        <w:jc w:val="both"/>
        <w:rPr>
          <w:rFonts w:cs="Arial"/>
          <w:sz w:val="22"/>
          <w:szCs w:val="22"/>
        </w:rPr>
      </w:pPr>
      <w:r w:rsidRPr="008D235F">
        <w:rPr>
          <w:rFonts w:cs="Arial"/>
          <w:sz w:val="22"/>
          <w:szCs w:val="22"/>
        </w:rPr>
        <w:t xml:space="preserve">Największą popularnością cieszy się piwo, a w dalszej kolejności wino i wódka. Mniej popularne napoje, jak bimber, miód pitny czy </w:t>
      </w:r>
      <w:proofErr w:type="spellStart"/>
      <w:r w:rsidRPr="008D235F">
        <w:rPr>
          <w:rFonts w:cs="Arial"/>
          <w:sz w:val="22"/>
          <w:szCs w:val="22"/>
        </w:rPr>
        <w:t>alcopop</w:t>
      </w:r>
      <w:proofErr w:type="spellEnd"/>
      <w:r w:rsidRPr="008D235F">
        <w:rPr>
          <w:rFonts w:cs="Arial"/>
          <w:sz w:val="22"/>
          <w:szCs w:val="22"/>
        </w:rPr>
        <w:t>, są wybierane znacznie rzadziej.</w:t>
      </w:r>
    </w:p>
    <w:p w14:paraId="1FB205DF" w14:textId="4A007DE5" w:rsidR="001676E4" w:rsidRPr="0054713D" w:rsidRDefault="001676E4" w:rsidP="001676E4">
      <w:pPr>
        <w:pStyle w:val="Legenda"/>
        <w:keepNext/>
        <w:rPr>
          <w:sz w:val="20"/>
          <w:szCs w:val="16"/>
        </w:rPr>
      </w:pPr>
      <w:bookmarkStart w:id="10" w:name="_Toc214279919"/>
      <w:r w:rsidRPr="0054713D">
        <w:rPr>
          <w:sz w:val="20"/>
          <w:szCs w:val="16"/>
        </w:rPr>
        <w:lastRenderedPageBreak/>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2</w:t>
      </w:r>
      <w:r w:rsidRPr="0054713D">
        <w:rPr>
          <w:sz w:val="20"/>
          <w:szCs w:val="16"/>
        </w:rPr>
        <w:fldChar w:fldCharType="end"/>
      </w:r>
      <w:r w:rsidRPr="0054713D">
        <w:rPr>
          <w:sz w:val="20"/>
          <w:szCs w:val="16"/>
        </w:rPr>
        <w:t xml:space="preserve">. Używanie poszczególnych rodzajów alkoholu przez osoby dorosłe w wieku od 25 do 44 lat, w ciągu ostatnich 30 dni - </w:t>
      </w:r>
      <w:r w:rsidR="00802AFA" w:rsidRPr="0054713D">
        <w:rPr>
          <w:sz w:val="20"/>
          <w:szCs w:val="16"/>
        </w:rPr>
        <w:t>województwo</w:t>
      </w:r>
      <w:r w:rsidRPr="0054713D">
        <w:rPr>
          <w:sz w:val="20"/>
          <w:szCs w:val="16"/>
        </w:rPr>
        <w:t xml:space="preserve"> lubelskie</w:t>
      </w:r>
      <w:bookmarkEnd w:id="10"/>
    </w:p>
    <w:p w14:paraId="0B9811CF" w14:textId="77777777" w:rsidR="001676E4" w:rsidRPr="00317DE2" w:rsidRDefault="001676E4" w:rsidP="001676E4">
      <w:pPr>
        <w:spacing w:line="360" w:lineRule="auto"/>
        <w:jc w:val="center"/>
        <w:rPr>
          <w:rFonts w:cs="Arial"/>
          <w:sz w:val="22"/>
          <w:szCs w:val="22"/>
        </w:rPr>
      </w:pPr>
      <w:r w:rsidRPr="00317DE2">
        <w:rPr>
          <w:rFonts w:cs="Arial"/>
          <w:noProof/>
          <w:sz w:val="22"/>
          <w:szCs w:val="22"/>
        </w:rPr>
        <w:drawing>
          <wp:inline distT="0" distB="0" distL="0" distR="0" wp14:anchorId="67D3730A" wp14:editId="35F140B1">
            <wp:extent cx="5760720" cy="3022600"/>
            <wp:effectExtent l="0" t="0" r="0" b="6350"/>
            <wp:docPr id="2014771424" name="Wykres 1" descr="Używanie poszczególnych rodzajów alkoholu przez osoby dorosłe w wieku od 25 do 44 lat, w ciągu ostatnich 30 dni - woj. lubelskie">
              <a:extLst xmlns:a="http://schemas.openxmlformats.org/drawingml/2006/main">
                <a:ext uri="{FF2B5EF4-FFF2-40B4-BE49-F238E27FC236}">
                  <a16:creationId xmlns:a16="http://schemas.microsoft.com/office/drawing/2014/main" id="{CF7424E4-531D-600E-E6C0-B413AF568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048442"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63EFE4D9" w14:textId="42EA1F64" w:rsidR="001676E4" w:rsidRPr="008D235F" w:rsidRDefault="001676E4" w:rsidP="001676E4">
      <w:pPr>
        <w:spacing w:before="100" w:beforeAutospacing="1" w:after="100" w:afterAutospacing="1" w:line="360" w:lineRule="auto"/>
        <w:ind w:firstLine="567"/>
        <w:jc w:val="both"/>
        <w:rPr>
          <w:rFonts w:cs="Arial"/>
          <w:sz w:val="22"/>
          <w:szCs w:val="22"/>
        </w:rPr>
      </w:pPr>
      <w:r w:rsidRPr="00317DE2">
        <w:rPr>
          <w:rFonts w:cs="Arial"/>
          <w:sz w:val="22"/>
          <w:szCs w:val="22"/>
        </w:rPr>
        <w:t xml:space="preserve">Z </w:t>
      </w:r>
      <w:r w:rsidRPr="008D235F">
        <w:rPr>
          <w:rFonts w:cs="Arial"/>
          <w:sz w:val="22"/>
          <w:szCs w:val="22"/>
        </w:rPr>
        <w:t>wykresu nr 2 wynika, że osoby w wieku 25–44 lat najczęściej sięgają po piwo i wódkę, przy czym piwo było pite również codziennie przez znaczną część badanych. Najwyższy wynik odnotowano dla piwa – 41% respondentów piło je od 2 do 4 razy, natomiast 29,5% deklarowało spożycie od 5 do 10 razy. Na trzecim miejscu znalazły się osoby pijące piwo codziennie (19%).</w:t>
      </w:r>
    </w:p>
    <w:p w14:paraId="052B50F2" w14:textId="773D55E6" w:rsidR="001676E4" w:rsidRPr="0054713D" w:rsidRDefault="001676E4" w:rsidP="001676E4">
      <w:pPr>
        <w:pStyle w:val="Legenda"/>
        <w:keepNext/>
        <w:rPr>
          <w:sz w:val="20"/>
          <w:szCs w:val="16"/>
        </w:rPr>
      </w:pPr>
      <w:bookmarkStart w:id="11" w:name="_Toc214279920"/>
      <w:r w:rsidRPr="0054713D">
        <w:rPr>
          <w:sz w:val="20"/>
          <w:szCs w:val="16"/>
        </w:rPr>
        <w:lastRenderedPageBreak/>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3</w:t>
      </w:r>
      <w:r w:rsidRPr="0054713D">
        <w:rPr>
          <w:sz w:val="20"/>
          <w:szCs w:val="16"/>
        </w:rPr>
        <w:fldChar w:fldCharType="end"/>
      </w:r>
      <w:r w:rsidRPr="0054713D">
        <w:rPr>
          <w:sz w:val="20"/>
          <w:szCs w:val="16"/>
        </w:rPr>
        <w:t xml:space="preserve">. Używanie poszczególnych rodzajów alkoholu przez osoby dorosłe w wieku od 45 do 64 lat, w ciągu ostatnich 30 dni - </w:t>
      </w:r>
      <w:r w:rsidR="00802AFA" w:rsidRPr="0054713D">
        <w:rPr>
          <w:sz w:val="20"/>
          <w:szCs w:val="16"/>
        </w:rPr>
        <w:t>województwo</w:t>
      </w:r>
      <w:r w:rsidRPr="0054713D">
        <w:rPr>
          <w:sz w:val="20"/>
          <w:szCs w:val="16"/>
        </w:rPr>
        <w:t xml:space="preserve"> lubelskie</w:t>
      </w:r>
      <w:bookmarkEnd w:id="11"/>
    </w:p>
    <w:p w14:paraId="69CD0DE8" w14:textId="77777777" w:rsidR="001676E4" w:rsidRPr="00317DE2" w:rsidRDefault="001676E4" w:rsidP="001676E4">
      <w:pPr>
        <w:spacing w:line="360" w:lineRule="auto"/>
        <w:rPr>
          <w:rFonts w:cs="Arial"/>
          <w:color w:val="000000"/>
          <w:sz w:val="22"/>
          <w:szCs w:val="22"/>
        </w:rPr>
      </w:pPr>
      <w:r w:rsidRPr="00317DE2">
        <w:rPr>
          <w:rFonts w:cs="Arial"/>
          <w:noProof/>
          <w:sz w:val="22"/>
          <w:szCs w:val="22"/>
        </w:rPr>
        <w:drawing>
          <wp:inline distT="0" distB="0" distL="0" distR="0" wp14:anchorId="034B9C06" wp14:editId="06AD3DDE">
            <wp:extent cx="5760720" cy="3448685"/>
            <wp:effectExtent l="0" t="0" r="0" b="0"/>
            <wp:docPr id="697069455" name="Wykres 1" descr="Używanie poszczególnych rodzajów alkoholu przez osoby dorosłe w wieku od 45 do 64 lat, w ciągu ostatnich 30 dni - woj. lubelskie">
              <a:extLst xmlns:a="http://schemas.openxmlformats.org/drawingml/2006/main">
                <a:ext uri="{FF2B5EF4-FFF2-40B4-BE49-F238E27FC236}">
                  <a16:creationId xmlns:a16="http://schemas.microsoft.com/office/drawing/2014/main" id="{8AEBB734-8EBC-DD5E-D2EF-05C3EC6BA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02DEE5"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7D38C9CF" w14:textId="77777777" w:rsidR="00C7010E" w:rsidRDefault="00C7010E" w:rsidP="001676E4">
      <w:pPr>
        <w:spacing w:after="0" w:line="360" w:lineRule="auto"/>
        <w:ind w:firstLine="567"/>
        <w:jc w:val="both"/>
        <w:rPr>
          <w:rFonts w:cs="Arial"/>
          <w:sz w:val="22"/>
          <w:szCs w:val="22"/>
        </w:rPr>
      </w:pPr>
    </w:p>
    <w:p w14:paraId="7A9B6DBF" w14:textId="2CC0D85A" w:rsidR="001676E4" w:rsidRPr="00317DE2" w:rsidRDefault="001676E4" w:rsidP="001676E4">
      <w:pPr>
        <w:spacing w:after="0" w:line="360" w:lineRule="auto"/>
        <w:ind w:firstLine="567"/>
        <w:jc w:val="both"/>
        <w:rPr>
          <w:rFonts w:cs="Arial"/>
          <w:sz w:val="22"/>
          <w:szCs w:val="22"/>
        </w:rPr>
      </w:pPr>
      <w:r w:rsidRPr="008D235F">
        <w:rPr>
          <w:rFonts w:cs="Arial"/>
          <w:sz w:val="22"/>
          <w:szCs w:val="22"/>
        </w:rPr>
        <w:t>Z analizy wynika, że wśród osób w wieku 45–64 lata dominują piwo i wódka jako najczęściej wybierane trunki, przy czym piwo jest pite również częściej i bardziej regularnie. Pozostałe</w:t>
      </w:r>
      <w:r w:rsidRPr="00317DE2">
        <w:rPr>
          <w:rFonts w:cs="Arial"/>
          <w:sz w:val="22"/>
          <w:szCs w:val="22"/>
        </w:rPr>
        <w:t xml:space="preserve"> napoje alkoholowe są wybierane rzadziej i okazjonalnie. Najczęściej spożywanym alkoholem było piwo – 29% respondentów zadeklarowało, że piło je od 5 do 10 razy, a kolejne 22% wskazało częstotliwość od 2 do 4 razy. Codzienne picie piwa dotyczyło 6% badanych.</w:t>
      </w:r>
    </w:p>
    <w:p w14:paraId="37CE2AE1"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Drugim najczęściej spożywanym alkoholem była wódka – aż 35% badanych sięgnęło po nią od 2 do 4 razy, a 12% tylko raz. Wino znalazło się na trzecim miejscu – najwięcej respondentów piło je od 5 do 10 razy (20%).</w:t>
      </w:r>
    </w:p>
    <w:p w14:paraId="7B4FC231" w14:textId="77777777" w:rsidR="001676E4" w:rsidRPr="00317DE2" w:rsidRDefault="001676E4" w:rsidP="001676E4">
      <w:pPr>
        <w:spacing w:after="0" w:line="360" w:lineRule="auto"/>
        <w:ind w:firstLine="567"/>
        <w:jc w:val="both"/>
        <w:rPr>
          <w:rFonts w:cs="Arial"/>
          <w:sz w:val="22"/>
          <w:szCs w:val="22"/>
        </w:rPr>
      </w:pPr>
    </w:p>
    <w:p w14:paraId="3DD9C471" w14:textId="1A88CC84" w:rsidR="001676E4" w:rsidRPr="0054713D" w:rsidRDefault="001676E4" w:rsidP="001676E4">
      <w:pPr>
        <w:pStyle w:val="Legenda"/>
        <w:keepNext/>
        <w:rPr>
          <w:sz w:val="20"/>
          <w:szCs w:val="16"/>
        </w:rPr>
      </w:pPr>
      <w:bookmarkStart w:id="12" w:name="_Toc214279921"/>
      <w:r w:rsidRPr="0054713D">
        <w:rPr>
          <w:sz w:val="20"/>
          <w:szCs w:val="16"/>
        </w:rPr>
        <w:lastRenderedPageBreak/>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4</w:t>
      </w:r>
      <w:r w:rsidRPr="0054713D">
        <w:rPr>
          <w:sz w:val="20"/>
          <w:szCs w:val="16"/>
        </w:rPr>
        <w:fldChar w:fldCharType="end"/>
      </w:r>
      <w:r w:rsidRPr="0054713D">
        <w:rPr>
          <w:sz w:val="20"/>
          <w:szCs w:val="16"/>
        </w:rPr>
        <w:t xml:space="preserve">. Używanie poszczególnych rodzajów alkoholu przez osoby dorosłe w wieku od 65 do 85 lat, w ciągu ostatnich 30 dni - </w:t>
      </w:r>
      <w:r w:rsidR="00802AFA" w:rsidRPr="0054713D">
        <w:rPr>
          <w:sz w:val="20"/>
          <w:szCs w:val="16"/>
        </w:rPr>
        <w:t>województwo</w:t>
      </w:r>
      <w:r w:rsidRPr="0054713D">
        <w:rPr>
          <w:sz w:val="20"/>
          <w:szCs w:val="16"/>
        </w:rPr>
        <w:t xml:space="preserve"> lubelskie</w:t>
      </w:r>
      <w:bookmarkEnd w:id="12"/>
    </w:p>
    <w:p w14:paraId="6651F997" w14:textId="77777777" w:rsidR="001676E4" w:rsidRPr="00317DE2" w:rsidRDefault="001676E4" w:rsidP="001676E4">
      <w:pPr>
        <w:spacing w:line="360" w:lineRule="auto"/>
        <w:rPr>
          <w:rFonts w:cs="Arial"/>
          <w:sz w:val="22"/>
          <w:szCs w:val="22"/>
        </w:rPr>
      </w:pPr>
      <w:r w:rsidRPr="00317DE2">
        <w:rPr>
          <w:rFonts w:cs="Arial"/>
          <w:noProof/>
          <w:sz w:val="22"/>
          <w:szCs w:val="22"/>
        </w:rPr>
        <w:drawing>
          <wp:inline distT="0" distB="0" distL="0" distR="0" wp14:anchorId="3F2B1D28" wp14:editId="740A5824">
            <wp:extent cx="5760720" cy="3236595"/>
            <wp:effectExtent l="0" t="0" r="0" b="1905"/>
            <wp:docPr id="1054337436" name="Wykres 1" descr="Używanie poszczególnych rodzajów alkoholu przez osoby dorosłe w wieku od 65 do 85 lat, w ciągu ostatnich 30 dni - woj. lubelskie">
              <a:extLst xmlns:a="http://schemas.openxmlformats.org/drawingml/2006/main">
                <a:ext uri="{FF2B5EF4-FFF2-40B4-BE49-F238E27FC236}">
                  <a16:creationId xmlns:a16="http://schemas.microsoft.com/office/drawing/2014/main" id="{9D6ACC1E-8C70-E373-2FCB-E23EEC718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423DC0"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71E10E30" w14:textId="489FA8E4" w:rsidR="001676E4" w:rsidRPr="00317DE2" w:rsidRDefault="001676E4" w:rsidP="001676E4">
      <w:pPr>
        <w:spacing w:before="100" w:beforeAutospacing="1" w:after="100" w:afterAutospacing="1" w:line="360" w:lineRule="auto"/>
        <w:ind w:firstLine="567"/>
        <w:jc w:val="both"/>
        <w:rPr>
          <w:rFonts w:cs="Arial"/>
          <w:sz w:val="22"/>
          <w:szCs w:val="22"/>
        </w:rPr>
      </w:pPr>
      <w:r w:rsidRPr="00317DE2">
        <w:rPr>
          <w:rFonts w:cs="Arial"/>
          <w:sz w:val="22"/>
          <w:szCs w:val="22"/>
        </w:rPr>
        <w:t xml:space="preserve">Z wykresu wynika, </w:t>
      </w:r>
      <w:r w:rsidRPr="008D235F">
        <w:rPr>
          <w:rFonts w:cs="Arial"/>
          <w:sz w:val="22"/>
          <w:szCs w:val="22"/>
        </w:rPr>
        <w:t>że osoby w wieku 65–85 lat spożywają alkohol rzadziej i w mniejszych ilościach niż młodsze grupy. Najczęściej wybieranym trunkiem jest wino, a piwo zajmuje</w:t>
      </w:r>
      <w:r w:rsidRPr="00317DE2">
        <w:rPr>
          <w:rFonts w:cs="Arial"/>
          <w:sz w:val="22"/>
          <w:szCs w:val="22"/>
        </w:rPr>
        <w:t xml:space="preserve"> drugie miejsce. Inne rodzaje alkoholu są konsumowane sporadycznie lub wcale. Spożycie codzienne w tej grupie wiekowej praktycznie nie występuje.</w:t>
      </w:r>
    </w:p>
    <w:p w14:paraId="61EA3CB3" w14:textId="30F0502B" w:rsidR="001676E4" w:rsidRPr="0054713D" w:rsidRDefault="001676E4" w:rsidP="001676E4">
      <w:pPr>
        <w:pStyle w:val="Legenda"/>
        <w:keepNext/>
        <w:rPr>
          <w:sz w:val="20"/>
          <w:szCs w:val="16"/>
        </w:rPr>
      </w:pPr>
      <w:bookmarkStart w:id="13" w:name="_Toc214279922"/>
      <w:r w:rsidRPr="0054713D">
        <w:rPr>
          <w:sz w:val="20"/>
          <w:szCs w:val="16"/>
        </w:rPr>
        <w:lastRenderedPageBreak/>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5</w:t>
      </w:r>
      <w:r w:rsidRPr="0054713D">
        <w:rPr>
          <w:sz w:val="20"/>
          <w:szCs w:val="16"/>
        </w:rPr>
        <w:fldChar w:fldCharType="end"/>
      </w:r>
      <w:r w:rsidRPr="0054713D">
        <w:rPr>
          <w:sz w:val="20"/>
          <w:szCs w:val="16"/>
        </w:rPr>
        <w:t>. Używanie poszczególnych rodzajów alkoholu w latach 2006, 2019, 2025 – woj</w:t>
      </w:r>
      <w:r w:rsidR="00802AFA" w:rsidRPr="0054713D">
        <w:rPr>
          <w:sz w:val="20"/>
          <w:szCs w:val="16"/>
        </w:rPr>
        <w:t>ewództwo</w:t>
      </w:r>
      <w:r w:rsidRPr="0054713D">
        <w:rPr>
          <w:sz w:val="20"/>
          <w:szCs w:val="16"/>
        </w:rPr>
        <w:t xml:space="preserve"> lubelskie</w:t>
      </w:r>
      <w:bookmarkEnd w:id="13"/>
    </w:p>
    <w:p w14:paraId="72278334" w14:textId="77777777" w:rsidR="001676E4" w:rsidRPr="00317DE2" w:rsidRDefault="001676E4" w:rsidP="001676E4">
      <w:pPr>
        <w:spacing w:line="360" w:lineRule="auto"/>
        <w:rPr>
          <w:rFonts w:cs="Arial"/>
          <w:sz w:val="22"/>
          <w:szCs w:val="22"/>
        </w:rPr>
      </w:pPr>
      <w:r w:rsidRPr="00317DE2">
        <w:rPr>
          <w:rFonts w:cs="Arial"/>
          <w:noProof/>
          <w:sz w:val="22"/>
          <w:szCs w:val="22"/>
        </w:rPr>
        <w:drawing>
          <wp:inline distT="0" distB="0" distL="0" distR="0" wp14:anchorId="4BE45F14" wp14:editId="132061CD">
            <wp:extent cx="5760720" cy="3242945"/>
            <wp:effectExtent l="0" t="0" r="0" b="0"/>
            <wp:docPr id="1577183557" name="Wykres 1">
              <a:extLst xmlns:a="http://schemas.openxmlformats.org/drawingml/2006/main">
                <a:ext uri="{FF2B5EF4-FFF2-40B4-BE49-F238E27FC236}">
                  <a16:creationId xmlns:a16="http://schemas.microsoft.com/office/drawing/2014/main" id="{DE52D431-D0CD-BF8C-734E-F945814EE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6C5670"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0CCD2188" w14:textId="77777777" w:rsidR="00C7010E" w:rsidRDefault="00C7010E" w:rsidP="001676E4">
      <w:pPr>
        <w:spacing w:after="0" w:line="360" w:lineRule="auto"/>
        <w:ind w:firstLine="567"/>
        <w:jc w:val="both"/>
        <w:rPr>
          <w:rFonts w:cs="Arial"/>
          <w:sz w:val="22"/>
          <w:szCs w:val="22"/>
        </w:rPr>
      </w:pPr>
    </w:p>
    <w:p w14:paraId="70E15C78" w14:textId="3C83D8A8" w:rsidR="001676E4" w:rsidRPr="00317DE2" w:rsidRDefault="001676E4" w:rsidP="001676E4">
      <w:pPr>
        <w:spacing w:after="0" w:line="360" w:lineRule="auto"/>
        <w:ind w:firstLine="567"/>
        <w:jc w:val="both"/>
        <w:rPr>
          <w:rFonts w:cs="Arial"/>
          <w:sz w:val="22"/>
          <w:szCs w:val="22"/>
        </w:rPr>
      </w:pPr>
      <w:r w:rsidRPr="00317DE2">
        <w:rPr>
          <w:rFonts w:cs="Arial"/>
          <w:sz w:val="22"/>
          <w:szCs w:val="22"/>
        </w:rPr>
        <w:t>Wykres nr 5 przedstawia używanie poszczególnych rodzajów alkoholu w województwie lubelskim w latach 2006, 2019 oraz 2025. Z danych wynika, że najczęściej spożywanym trunkiem we wszystkich badanych latach było piwo. W 2006 roku piwo piło 45,36% respondentów, w 2019</w:t>
      </w:r>
      <w:r w:rsidR="002D07B8">
        <w:rPr>
          <w:rFonts w:cs="Arial"/>
          <w:sz w:val="22"/>
          <w:szCs w:val="22"/>
        </w:rPr>
        <w:t xml:space="preserve"> r.</w:t>
      </w:r>
      <w:r w:rsidRPr="00317DE2">
        <w:rPr>
          <w:rFonts w:cs="Arial"/>
          <w:sz w:val="22"/>
          <w:szCs w:val="22"/>
        </w:rPr>
        <w:t xml:space="preserve"> – 46,21%, a w 2025</w:t>
      </w:r>
      <w:r w:rsidR="002D07B8">
        <w:rPr>
          <w:rFonts w:cs="Arial"/>
          <w:sz w:val="22"/>
          <w:szCs w:val="22"/>
        </w:rPr>
        <w:t xml:space="preserve"> r</w:t>
      </w:r>
      <w:r w:rsidR="00012BA4">
        <w:rPr>
          <w:rFonts w:cs="Arial"/>
          <w:sz w:val="22"/>
          <w:szCs w:val="22"/>
        </w:rPr>
        <w:t>oku</w:t>
      </w:r>
      <w:r w:rsidRPr="00317DE2">
        <w:rPr>
          <w:rFonts w:cs="Arial"/>
          <w:sz w:val="22"/>
          <w:szCs w:val="22"/>
        </w:rPr>
        <w:t xml:space="preserve"> nastąpił wzrost do 48,92%.</w:t>
      </w:r>
    </w:p>
    <w:p w14:paraId="10A56E18" w14:textId="3367DF11" w:rsidR="001676E4" w:rsidRPr="00317DE2" w:rsidRDefault="001676E4" w:rsidP="001676E4">
      <w:pPr>
        <w:spacing w:after="0" w:line="360" w:lineRule="auto"/>
        <w:ind w:firstLine="567"/>
        <w:jc w:val="both"/>
        <w:rPr>
          <w:rFonts w:cs="Arial"/>
          <w:sz w:val="22"/>
          <w:szCs w:val="22"/>
        </w:rPr>
      </w:pPr>
      <w:r w:rsidRPr="00317DE2">
        <w:rPr>
          <w:rFonts w:cs="Arial"/>
          <w:sz w:val="22"/>
          <w:szCs w:val="22"/>
        </w:rPr>
        <w:t>Na drugim miejscu znalazło się wino, którego konsumpcja była stosunkowo stabilna: 28,89% w 2006 roku, 27,41% w 2019</w:t>
      </w:r>
      <w:r w:rsidR="002D07B8">
        <w:rPr>
          <w:rFonts w:cs="Arial"/>
          <w:sz w:val="22"/>
          <w:szCs w:val="22"/>
        </w:rPr>
        <w:t xml:space="preserve"> r</w:t>
      </w:r>
      <w:r w:rsidR="00012BA4">
        <w:rPr>
          <w:rFonts w:cs="Arial"/>
          <w:sz w:val="22"/>
          <w:szCs w:val="22"/>
        </w:rPr>
        <w:t>oku</w:t>
      </w:r>
      <w:r w:rsidRPr="00317DE2">
        <w:rPr>
          <w:rFonts w:cs="Arial"/>
          <w:sz w:val="22"/>
          <w:szCs w:val="22"/>
        </w:rPr>
        <w:t xml:space="preserve"> i 28,46% w 2025 roku. Względna trwałość popularności tego trunku świadczy o jego stałej pozycji w preferencjach mieszkańców regionu.</w:t>
      </w:r>
    </w:p>
    <w:p w14:paraId="357D43FE"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Trzecim najczęściej wybieranym alkoholem była wódka – w 2006 roku piło ją 12,34% respondentów, w 2019 roku nastąpił wzrost do 15,92%, jednak w 2025 roku zanotowano lekki spadek do 13,16%.</w:t>
      </w:r>
    </w:p>
    <w:p w14:paraId="21A646BC" w14:textId="03C5F229" w:rsidR="001676E4" w:rsidRPr="00317DE2" w:rsidRDefault="001676E4" w:rsidP="001676E4">
      <w:pPr>
        <w:spacing w:after="100" w:afterAutospacing="1" w:line="360" w:lineRule="auto"/>
        <w:ind w:firstLine="567"/>
        <w:jc w:val="both"/>
        <w:rPr>
          <w:rFonts w:cs="Arial"/>
          <w:sz w:val="22"/>
          <w:szCs w:val="22"/>
        </w:rPr>
      </w:pPr>
      <w:r w:rsidRPr="00317DE2">
        <w:rPr>
          <w:rFonts w:cs="Arial"/>
          <w:sz w:val="22"/>
          <w:szCs w:val="22"/>
        </w:rPr>
        <w:t>Cydr i bimber były znacznie mniej popularne, choć zauważalny jest wzrost w przypadku bimbru: z 3,95% w 2006 roku do 8,11% w 2025</w:t>
      </w:r>
      <w:r w:rsidR="002D07B8">
        <w:rPr>
          <w:rFonts w:cs="Arial"/>
          <w:sz w:val="22"/>
          <w:szCs w:val="22"/>
        </w:rPr>
        <w:t xml:space="preserve"> r</w:t>
      </w:r>
      <w:r w:rsidR="00012BA4">
        <w:rPr>
          <w:rFonts w:cs="Arial"/>
          <w:sz w:val="22"/>
          <w:szCs w:val="22"/>
        </w:rPr>
        <w:t>oku</w:t>
      </w:r>
      <w:r w:rsidR="002D07B8">
        <w:rPr>
          <w:rFonts w:cs="Arial"/>
          <w:sz w:val="22"/>
          <w:szCs w:val="22"/>
        </w:rPr>
        <w:t>.</w:t>
      </w:r>
      <w:r w:rsidRPr="00317DE2">
        <w:rPr>
          <w:rFonts w:cs="Arial"/>
          <w:sz w:val="22"/>
          <w:szCs w:val="22"/>
        </w:rPr>
        <w:t xml:space="preserve"> Cydr natomiast nieznacznie zyskał na popularności – z 4,15% w 2006 roku do 5,25% w 2025</w:t>
      </w:r>
      <w:r w:rsidR="002D07B8">
        <w:rPr>
          <w:rFonts w:cs="Arial"/>
          <w:sz w:val="22"/>
          <w:szCs w:val="22"/>
        </w:rPr>
        <w:t xml:space="preserve"> r</w:t>
      </w:r>
      <w:r w:rsidR="00012BA4">
        <w:rPr>
          <w:rFonts w:cs="Arial"/>
          <w:sz w:val="22"/>
          <w:szCs w:val="22"/>
        </w:rPr>
        <w:t>oku</w:t>
      </w:r>
      <w:r w:rsidRPr="00317DE2">
        <w:rPr>
          <w:rFonts w:cs="Arial"/>
          <w:sz w:val="22"/>
          <w:szCs w:val="22"/>
        </w:rPr>
        <w:t>.</w:t>
      </w:r>
    </w:p>
    <w:p w14:paraId="02F45D83" w14:textId="77777777" w:rsidR="001676E4" w:rsidRPr="00D90AAF" w:rsidRDefault="001676E4" w:rsidP="001676E4">
      <w:pPr>
        <w:spacing w:before="100" w:beforeAutospacing="1" w:after="0" w:line="360" w:lineRule="auto"/>
        <w:ind w:firstLine="567"/>
        <w:jc w:val="both"/>
        <w:rPr>
          <w:rFonts w:cs="Arial"/>
          <w:sz w:val="22"/>
          <w:szCs w:val="22"/>
        </w:rPr>
      </w:pPr>
      <w:r w:rsidRPr="00D90AAF">
        <w:rPr>
          <w:rFonts w:cs="Arial"/>
          <w:sz w:val="22"/>
          <w:szCs w:val="22"/>
        </w:rPr>
        <w:t xml:space="preserve"> Z wykresu można wywnioskować, że na przestrzeni prawie dwóch dekad największym zainteresowaniem cieszyło się niezmiennie piwo, które dodatkowo zyskało jeszcze większą popularność. Jednocześnie spożycie mocnych alkoholi, takich jak wódka, wykazuje tendencję do stabilizacji lub lekkiego spadku.</w:t>
      </w:r>
    </w:p>
    <w:p w14:paraId="73B41B71" w14:textId="67434F39" w:rsidR="001676E4" w:rsidRPr="00317DE2" w:rsidRDefault="001676E4" w:rsidP="001676E4">
      <w:pPr>
        <w:spacing w:line="360" w:lineRule="auto"/>
        <w:ind w:firstLine="567"/>
        <w:jc w:val="both"/>
        <w:rPr>
          <w:rFonts w:cs="Arial"/>
          <w:sz w:val="22"/>
          <w:szCs w:val="22"/>
        </w:rPr>
      </w:pPr>
      <w:r w:rsidRPr="00317DE2">
        <w:rPr>
          <w:rFonts w:cs="Arial"/>
          <w:sz w:val="22"/>
          <w:szCs w:val="22"/>
        </w:rPr>
        <w:lastRenderedPageBreak/>
        <w:t>Ze względu na to, że alkohol dla osób dorosłych jest substancją legalną</w:t>
      </w:r>
      <w:r w:rsidR="00012BA4">
        <w:rPr>
          <w:rFonts w:cs="Arial"/>
          <w:sz w:val="22"/>
          <w:szCs w:val="22"/>
        </w:rPr>
        <w:t>,</w:t>
      </w:r>
      <w:r w:rsidRPr="00317DE2">
        <w:rPr>
          <w:rFonts w:cs="Arial"/>
          <w:sz w:val="22"/>
          <w:szCs w:val="22"/>
        </w:rPr>
        <w:t xml:space="preserve"> badania tego typu umożliwiają również przygotowanie odpowiednich działań</w:t>
      </w:r>
      <w:r w:rsidR="00012BA4">
        <w:rPr>
          <w:rFonts w:cs="Arial"/>
          <w:sz w:val="22"/>
          <w:szCs w:val="22"/>
        </w:rPr>
        <w:t>,</w:t>
      </w:r>
      <w:r w:rsidRPr="00317DE2">
        <w:rPr>
          <w:rFonts w:cs="Arial"/>
          <w:sz w:val="22"/>
          <w:szCs w:val="22"/>
        </w:rPr>
        <w:t xml:space="preserve"> mających na celu promowanie bezpiecznego stylu używania tej substancji psychoaktywnej.</w:t>
      </w:r>
    </w:p>
    <w:p w14:paraId="5F8DA860" w14:textId="77777777" w:rsidR="001676E4" w:rsidRPr="0054713D" w:rsidRDefault="001676E4" w:rsidP="001676E4">
      <w:pPr>
        <w:pStyle w:val="Legenda"/>
        <w:keepNext/>
        <w:rPr>
          <w:sz w:val="20"/>
          <w:szCs w:val="16"/>
        </w:rPr>
      </w:pPr>
      <w:bookmarkStart w:id="14" w:name="_Toc214279923"/>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6</w:t>
      </w:r>
      <w:r w:rsidRPr="0054713D">
        <w:rPr>
          <w:sz w:val="20"/>
          <w:szCs w:val="16"/>
        </w:rPr>
        <w:fldChar w:fldCharType="end"/>
      </w:r>
      <w:r w:rsidRPr="0054713D">
        <w:rPr>
          <w:sz w:val="20"/>
          <w:szCs w:val="16"/>
        </w:rPr>
        <w:t>. Problemy doświadczane przez osoby badane w wyniku używania alkoholu w ciągu ostatnich 12 miesięcy</w:t>
      </w:r>
      <w:bookmarkEnd w:id="14"/>
    </w:p>
    <w:p w14:paraId="5881520D" w14:textId="77777777" w:rsidR="001676E4" w:rsidRPr="00317DE2" w:rsidRDefault="001676E4" w:rsidP="001676E4">
      <w:pPr>
        <w:spacing w:line="360" w:lineRule="auto"/>
        <w:rPr>
          <w:rFonts w:cs="Arial"/>
          <w:sz w:val="22"/>
          <w:szCs w:val="22"/>
        </w:rPr>
      </w:pPr>
      <w:r w:rsidRPr="00317DE2">
        <w:rPr>
          <w:rFonts w:cs="Arial"/>
          <w:noProof/>
          <w:sz w:val="22"/>
          <w:szCs w:val="22"/>
        </w:rPr>
        <w:drawing>
          <wp:inline distT="0" distB="0" distL="0" distR="0" wp14:anchorId="5C54BFA6" wp14:editId="3A493CC4">
            <wp:extent cx="5889812" cy="4306900"/>
            <wp:effectExtent l="0" t="0" r="0" b="0"/>
            <wp:docPr id="482896374" name="Wykres 1">
              <a:extLst xmlns:a="http://schemas.openxmlformats.org/drawingml/2006/main">
                <a:ext uri="{FF2B5EF4-FFF2-40B4-BE49-F238E27FC236}">
                  <a16:creationId xmlns:a16="http://schemas.microsoft.com/office/drawing/2014/main" id="{F4816524-108D-8DD6-7267-7C3F08A75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B1286"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0CB6E223" w14:textId="77777777" w:rsidR="00C7010E" w:rsidRDefault="00C7010E" w:rsidP="001676E4">
      <w:pPr>
        <w:spacing w:after="0" w:line="360" w:lineRule="auto"/>
        <w:ind w:firstLine="567"/>
        <w:jc w:val="both"/>
        <w:rPr>
          <w:rFonts w:cs="Arial"/>
          <w:sz w:val="22"/>
          <w:szCs w:val="22"/>
        </w:rPr>
      </w:pPr>
    </w:p>
    <w:p w14:paraId="74359B21" w14:textId="5069FA5F" w:rsidR="001676E4" w:rsidRPr="00317DE2" w:rsidRDefault="001676E4" w:rsidP="001676E4">
      <w:pPr>
        <w:spacing w:after="0" w:line="360" w:lineRule="auto"/>
        <w:ind w:firstLine="567"/>
        <w:jc w:val="both"/>
        <w:rPr>
          <w:rFonts w:cs="Arial"/>
          <w:sz w:val="22"/>
          <w:szCs w:val="22"/>
        </w:rPr>
      </w:pPr>
      <w:r w:rsidRPr="008D235F">
        <w:rPr>
          <w:rFonts w:cs="Arial"/>
          <w:sz w:val="22"/>
          <w:szCs w:val="22"/>
        </w:rPr>
        <w:t>Wykres nr 6 przedstawia problemy doświadczane przez osoby badane w wyniku używania alkoholu w ciągu ostatnich 12 miesięcy, z uwzględnieniem częstotliwości ich występowania. Najwyższy</w:t>
      </w:r>
      <w:r w:rsidRPr="00317DE2">
        <w:rPr>
          <w:rFonts w:cs="Arial"/>
          <w:sz w:val="22"/>
          <w:szCs w:val="22"/>
        </w:rPr>
        <w:t xml:space="preserve"> wynik uzyskano dla problemu „Niechciane/zbyt częste doświadczenia seksualne” – 21% badanych deklarowało, że doświadczyło tego problemu 1–2 razy, 11% – 3–5 razy, a 9% – 6–9 razy.</w:t>
      </w:r>
    </w:p>
    <w:p w14:paraId="478D3C18"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Drugim najczęściej zgłaszanym problemem była „Poważna kłótnia” – 20% badanych doświadczyło jej 1–2 razy, a 13% – 3–5 razy. Kolejno, 18% respondentów deklarowało bójkę w ciągu ostatniego roku, z czego 15% doświadczyło jej 1–2 razy i 10% – 3–5 razy.</w:t>
      </w:r>
    </w:p>
    <w:p w14:paraId="10474F58"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lastRenderedPageBreak/>
        <w:t>Wysokie wartości wystąpiły również dla „Zniszczenia rzeczy lub ubrań” (15% – 1–2 razy, 10% – 3–5 razy), „Seks bez zabezpieczenia lub wbrew woli” (11% – 1–2 razy, 8% – 3–5 razy), oraz „Korzyści z pomocy medycznej z powodu alkoholu” (11% – 1–2 razy, 7% – 3–5 razy).</w:t>
      </w:r>
    </w:p>
    <w:p w14:paraId="1ABBA8A8"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Inne problemy, jak np. „Spowodowanie lub udział w wypadku drogowym”, „Utonięcie lub ryzykowne pływanie” czy „Pogorszenie relacji z rodziną lub bliskimi”, występowały rzadziej – w</w:t>
      </w:r>
      <w:r>
        <w:rPr>
          <w:rFonts w:cs="Arial"/>
          <w:sz w:val="22"/>
          <w:szCs w:val="22"/>
        </w:rPr>
        <w:t> </w:t>
      </w:r>
      <w:r w:rsidRPr="00317DE2">
        <w:rPr>
          <w:rFonts w:cs="Arial"/>
          <w:sz w:val="22"/>
          <w:szCs w:val="22"/>
        </w:rPr>
        <w:t>granicach 1–4% badanych i głównie w kategorii 1–2 razy.</w:t>
      </w:r>
    </w:p>
    <w:p w14:paraId="2C41E5A9" w14:textId="1C43215D" w:rsidR="001676E4" w:rsidRPr="00317DE2" w:rsidRDefault="001676E4" w:rsidP="001676E4">
      <w:pPr>
        <w:spacing w:after="0" w:line="360" w:lineRule="auto"/>
        <w:ind w:firstLine="567"/>
        <w:jc w:val="both"/>
        <w:rPr>
          <w:rFonts w:cs="Arial"/>
          <w:sz w:val="22"/>
          <w:szCs w:val="22"/>
        </w:rPr>
      </w:pPr>
      <w:r w:rsidRPr="00317DE2">
        <w:rPr>
          <w:rFonts w:cs="Arial"/>
          <w:sz w:val="22"/>
          <w:szCs w:val="22"/>
        </w:rPr>
        <w:t>Z wykresu wynika, że osoby badane doświadczały szerokiego wachlarza problemów wynikających z używania alkoholu. Najczęściej występowały konsekwencje społeczne i emocjonalne, takie jak bójki, kłótnie, niechciane kontakty seksualne czy zniszczenia mienia. Pomimo</w:t>
      </w:r>
      <w:r w:rsidR="00012BA4">
        <w:rPr>
          <w:rFonts w:cs="Arial"/>
          <w:sz w:val="22"/>
          <w:szCs w:val="22"/>
        </w:rPr>
        <w:t>,</w:t>
      </w:r>
      <w:r w:rsidRPr="00317DE2">
        <w:rPr>
          <w:rFonts w:cs="Arial"/>
          <w:sz w:val="22"/>
          <w:szCs w:val="22"/>
        </w:rPr>
        <w:t xml:space="preserve"> że wiele osób doświadczyło tych sytuacji stosunkowo rzadko, to jednak ich skala i</w:t>
      </w:r>
      <w:r>
        <w:rPr>
          <w:rFonts w:cs="Arial"/>
          <w:sz w:val="22"/>
          <w:szCs w:val="22"/>
        </w:rPr>
        <w:t> </w:t>
      </w:r>
      <w:r w:rsidRPr="00317DE2">
        <w:rPr>
          <w:rFonts w:cs="Arial"/>
          <w:sz w:val="22"/>
          <w:szCs w:val="22"/>
        </w:rPr>
        <w:t>różnorodność pokazuje, że nadużywanie alkoholu ma realny wpływ na funkcjonowanie społeczne i zdrowotne badanych.</w:t>
      </w:r>
    </w:p>
    <w:p w14:paraId="771459CF" w14:textId="77777777" w:rsidR="001676E4" w:rsidRPr="0054713D" w:rsidRDefault="001676E4" w:rsidP="001676E4">
      <w:pPr>
        <w:pStyle w:val="Legenda"/>
        <w:keepNext/>
        <w:jc w:val="both"/>
        <w:rPr>
          <w:sz w:val="20"/>
          <w:szCs w:val="16"/>
        </w:rPr>
      </w:pPr>
      <w:bookmarkStart w:id="15" w:name="_Toc214279924"/>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7</w:t>
      </w:r>
      <w:r w:rsidRPr="0054713D">
        <w:rPr>
          <w:sz w:val="20"/>
          <w:szCs w:val="16"/>
        </w:rPr>
        <w:fldChar w:fldCharType="end"/>
      </w:r>
      <w:r w:rsidRPr="0054713D">
        <w:rPr>
          <w:sz w:val="20"/>
          <w:szCs w:val="16"/>
        </w:rPr>
        <w:t>. Problemy doświadczane przez osoby badane w wyniku używania alkoholu w ciągu ostatnich 12 miesięcy na przestrzeni lat 2006 – 2025</w:t>
      </w:r>
      <w:bookmarkEnd w:id="15"/>
    </w:p>
    <w:p w14:paraId="62C65D19" w14:textId="77777777" w:rsidR="001676E4" w:rsidRPr="00317DE2" w:rsidRDefault="001676E4" w:rsidP="001676E4">
      <w:pPr>
        <w:jc w:val="both"/>
        <w:rPr>
          <w:rFonts w:cs="Arial"/>
          <w:sz w:val="22"/>
          <w:szCs w:val="22"/>
        </w:rPr>
      </w:pPr>
      <w:r w:rsidRPr="00317DE2">
        <w:rPr>
          <w:rFonts w:cs="Arial"/>
          <w:noProof/>
          <w:sz w:val="22"/>
          <w:szCs w:val="22"/>
        </w:rPr>
        <w:drawing>
          <wp:inline distT="0" distB="0" distL="0" distR="0" wp14:anchorId="26ACEF8A" wp14:editId="536E4DC9">
            <wp:extent cx="5786077" cy="3154296"/>
            <wp:effectExtent l="0" t="0" r="5715" b="8255"/>
            <wp:docPr id="1113444573" name="Wykres 1">
              <a:extLst xmlns:a="http://schemas.openxmlformats.org/drawingml/2006/main">
                <a:ext uri="{FF2B5EF4-FFF2-40B4-BE49-F238E27FC236}">
                  <a16:creationId xmlns:a16="http://schemas.microsoft.com/office/drawing/2014/main" id="{343F3E45-B398-4E3E-0E58-498CB69586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879A3F"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4D4754F7" w14:textId="77777777" w:rsidR="00C7010E" w:rsidRDefault="00C7010E" w:rsidP="001676E4">
      <w:pPr>
        <w:spacing w:after="0" w:line="360" w:lineRule="auto"/>
        <w:ind w:firstLine="567"/>
        <w:jc w:val="both"/>
        <w:rPr>
          <w:rFonts w:cs="Arial"/>
          <w:sz w:val="22"/>
          <w:szCs w:val="22"/>
        </w:rPr>
      </w:pPr>
    </w:p>
    <w:p w14:paraId="6EEE6E82" w14:textId="46EB55CC" w:rsidR="001676E4" w:rsidRPr="00317DE2" w:rsidRDefault="001676E4" w:rsidP="001676E4">
      <w:pPr>
        <w:spacing w:after="0" w:line="360" w:lineRule="auto"/>
        <w:ind w:firstLine="567"/>
        <w:jc w:val="both"/>
        <w:rPr>
          <w:rFonts w:cs="Arial"/>
          <w:sz w:val="22"/>
          <w:szCs w:val="22"/>
        </w:rPr>
      </w:pPr>
      <w:r w:rsidRPr="00317DE2">
        <w:rPr>
          <w:rFonts w:cs="Arial"/>
          <w:sz w:val="22"/>
          <w:szCs w:val="22"/>
        </w:rPr>
        <w:t>Wykres nr 7 przedstawia problemy doświadczane przez osoby badane w wyniku używania alkoholu w ciągu ostatnich 12 miesięcy na przestrzeni lat 2006–2025 w województwie lubelskim. Najwyższe wartości odnotowano w 2025 roku dla problemu „Poważna kłótnia” – aż 32% respondentów wskazało ten problem, co oznacza wyraźny wzrost w porównaniu do lat 2019 (26%) i 2006 (18%).</w:t>
      </w:r>
    </w:p>
    <w:p w14:paraId="4C1256AE"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lastRenderedPageBreak/>
        <w:t>Drugim najczęściej zgłaszanym problemem było „Zniszczenie rzeczy lub ubrań”, które w 2025 roku zadeklarowało 23% badanych (wzrost z 21% w 2019 i 14% w 2006). „Bójka” również była istotna – 22% w 2025, 19% w 2019 i 15% w 2006 roku. Podobny wzrost widoczny jest w kategorii „Uderzenie lub uszkodzenie ciała” – 19% w 2025 roku wobec 14% w 2006.</w:t>
      </w:r>
    </w:p>
    <w:p w14:paraId="769428F3"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Znaczący przyrost wystąpił w kategorii „Seks bez zabezpieczenia lub wbrew woli” – 15% w 2025 roku, w porównaniu do 7% w 2019 i 4% w 2006. Problemy zdrowotne także się nasiliły – „Korzystanie z pomocy medycznej” wskazało 14% badanych w 2025 roku, w porównaniu do 9% w 2019 i 4% w 2006.</w:t>
      </w:r>
    </w:p>
    <w:p w14:paraId="2CF3E704"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Pozostałe problemy, takie jak „Niechciane doświadczenia seksualne”, „Prowadzenie pod wpływem alkoholu”, „Spowodowanie wypadku” czy „Pływanie w niebezpiecznych warunkach”, występowały rzadziej, jednak również wykazywały tendencję wzrostową.</w:t>
      </w:r>
    </w:p>
    <w:p w14:paraId="23F25E4B" w14:textId="77777777" w:rsidR="001676E4" w:rsidRPr="00317DE2" w:rsidRDefault="001676E4" w:rsidP="001676E4">
      <w:pPr>
        <w:spacing w:after="0" w:line="360" w:lineRule="auto"/>
        <w:jc w:val="both"/>
        <w:rPr>
          <w:rFonts w:cs="Arial"/>
          <w:sz w:val="22"/>
          <w:szCs w:val="22"/>
        </w:rPr>
      </w:pPr>
      <w:r w:rsidRPr="00317DE2">
        <w:rPr>
          <w:rFonts w:cs="Arial"/>
          <w:sz w:val="22"/>
          <w:szCs w:val="22"/>
        </w:rPr>
        <w:t>Wnioski z wykresu wskazują, że na przestrzeni lat 2006–2025 obserwuje się wyraźny wzrost problemów związanych z używaniem alkoholu. Zjawisko to szczególnie nasiliło się w 2025 roku, co może świadczyć o rosnącym nasileniu negatywnych konsekwencji spożywania alkoholu wśród badanej populacji.</w:t>
      </w:r>
    </w:p>
    <w:p w14:paraId="241834EC" w14:textId="77777777" w:rsidR="001676E4" w:rsidRPr="0054713D" w:rsidRDefault="001676E4" w:rsidP="001676E4">
      <w:pPr>
        <w:pStyle w:val="Legenda"/>
        <w:keepNext/>
        <w:jc w:val="both"/>
        <w:rPr>
          <w:sz w:val="20"/>
          <w:szCs w:val="16"/>
        </w:rPr>
      </w:pPr>
      <w:bookmarkStart w:id="16" w:name="_Toc214279925"/>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8</w:t>
      </w:r>
      <w:r w:rsidRPr="0054713D">
        <w:rPr>
          <w:sz w:val="20"/>
          <w:szCs w:val="16"/>
        </w:rPr>
        <w:fldChar w:fldCharType="end"/>
      </w:r>
      <w:r w:rsidRPr="0054713D">
        <w:rPr>
          <w:sz w:val="20"/>
          <w:szCs w:val="16"/>
        </w:rPr>
        <w:t>. Okazje używania alkoholu</w:t>
      </w:r>
      <w:bookmarkEnd w:id="16"/>
    </w:p>
    <w:p w14:paraId="4FB2F4C3" w14:textId="77777777" w:rsidR="001676E4" w:rsidRPr="00317DE2" w:rsidRDefault="001676E4" w:rsidP="001676E4">
      <w:pPr>
        <w:jc w:val="both"/>
        <w:rPr>
          <w:rFonts w:cs="Arial"/>
          <w:sz w:val="22"/>
          <w:szCs w:val="22"/>
        </w:rPr>
      </w:pPr>
      <w:r w:rsidRPr="00317DE2">
        <w:rPr>
          <w:rFonts w:cs="Arial"/>
          <w:noProof/>
          <w:sz w:val="22"/>
          <w:szCs w:val="22"/>
        </w:rPr>
        <w:drawing>
          <wp:inline distT="0" distB="0" distL="0" distR="0" wp14:anchorId="49AAEAE4" wp14:editId="3D02029F">
            <wp:extent cx="4909820" cy="2818130"/>
            <wp:effectExtent l="0" t="0" r="5080" b="1270"/>
            <wp:docPr id="338883829" name="Wykres 1">
              <a:extLst xmlns:a="http://schemas.openxmlformats.org/drawingml/2006/main">
                <a:ext uri="{FF2B5EF4-FFF2-40B4-BE49-F238E27FC236}">
                  <a16:creationId xmlns:a16="http://schemas.microsoft.com/office/drawing/2014/main" id="{C5987A7F-9EE6-4A37-C8D7-0C9693D92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622F75"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47D13DDB" w14:textId="77777777" w:rsidR="00C7010E" w:rsidRDefault="00C7010E" w:rsidP="001676E4">
      <w:pPr>
        <w:spacing w:after="0" w:line="360" w:lineRule="auto"/>
        <w:ind w:firstLine="567"/>
        <w:jc w:val="both"/>
        <w:rPr>
          <w:rFonts w:cs="Arial"/>
          <w:sz w:val="22"/>
          <w:szCs w:val="22"/>
        </w:rPr>
      </w:pPr>
    </w:p>
    <w:p w14:paraId="1F64AB11" w14:textId="4A609579" w:rsidR="001676E4" w:rsidRPr="00317DE2" w:rsidRDefault="001676E4" w:rsidP="001676E4">
      <w:pPr>
        <w:spacing w:after="0" w:line="360" w:lineRule="auto"/>
        <w:ind w:firstLine="567"/>
        <w:jc w:val="both"/>
        <w:rPr>
          <w:rFonts w:cs="Arial"/>
          <w:sz w:val="22"/>
          <w:szCs w:val="22"/>
        </w:rPr>
      </w:pPr>
      <w:r w:rsidRPr="00317DE2">
        <w:rPr>
          <w:rFonts w:cs="Arial"/>
          <w:sz w:val="22"/>
          <w:szCs w:val="22"/>
        </w:rPr>
        <w:t xml:space="preserve">Wykres nr 8 przedstawia okazje, podczas których osoby badane spożywały alkohol, porównując dane z lat 2019 i 2025. Najwyższe wyniki odnotowano w kategorii „na spotkaniach towarzyskich z przyjaciółmi/znajomymi”. W 2025 roku aż 61,2% osób wskazało tę okazję jako moment spożywania alkoholu, co stanowi wzrost względem 2019 roku (56,8%). Drugim najwyższym wynikiem były spotkania rodzinne – 40,2% w 2025 roku oraz 44,1% w 2019 roku. </w:t>
      </w:r>
      <w:r w:rsidRPr="00317DE2">
        <w:rPr>
          <w:rFonts w:cs="Arial"/>
          <w:sz w:val="22"/>
          <w:szCs w:val="22"/>
        </w:rPr>
        <w:lastRenderedPageBreak/>
        <w:t>Trzecią</w:t>
      </w:r>
      <w:r w:rsidR="00012BA4">
        <w:rPr>
          <w:rFonts w:cs="Arial"/>
          <w:sz w:val="22"/>
          <w:szCs w:val="22"/>
        </w:rPr>
        <w:t>,</w:t>
      </w:r>
      <w:r w:rsidRPr="00317DE2">
        <w:rPr>
          <w:rFonts w:cs="Arial"/>
          <w:sz w:val="22"/>
          <w:szCs w:val="22"/>
        </w:rPr>
        <w:t xml:space="preserve"> najczęściej wskazywaną okazją</w:t>
      </w:r>
      <w:r w:rsidR="00012BA4">
        <w:rPr>
          <w:rFonts w:cs="Arial"/>
          <w:sz w:val="22"/>
          <w:szCs w:val="22"/>
        </w:rPr>
        <w:t>,</w:t>
      </w:r>
      <w:r w:rsidRPr="00317DE2">
        <w:rPr>
          <w:rFonts w:cs="Arial"/>
          <w:sz w:val="22"/>
          <w:szCs w:val="22"/>
        </w:rPr>
        <w:t xml:space="preserve"> były święta i uroczystości rodzinne – 30,8% w 2019 roku oraz nieco mniej, bo 25,4%, w 2025 roku.</w:t>
      </w:r>
    </w:p>
    <w:p w14:paraId="740376ED"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Równie wysokie wyniki uzyskała kategoria „bez specjalnej okazji – kiedy ma się ochotę”, która w 2025 roku wskazana została przez 30,8% respondentów, co stanowi wyraźny wzrost w</w:t>
      </w:r>
      <w:r>
        <w:rPr>
          <w:rFonts w:cs="Arial"/>
          <w:sz w:val="22"/>
          <w:szCs w:val="22"/>
        </w:rPr>
        <w:t> </w:t>
      </w:r>
      <w:r w:rsidRPr="00317DE2">
        <w:rPr>
          <w:rFonts w:cs="Arial"/>
          <w:sz w:val="22"/>
          <w:szCs w:val="22"/>
        </w:rPr>
        <w:t>stosunku do 22,1% w 2019 roku. Warto również zwrócić uwagę na okazje związane z relaksem i samotnością – w 2025 roku 22,1% badanych zadeklarowało picie alkoholu dla odprężenia, w porównaniu do 13% w 2019 roku.</w:t>
      </w:r>
    </w:p>
    <w:p w14:paraId="43F65470" w14:textId="602F5548" w:rsidR="001676E4" w:rsidRPr="00317DE2" w:rsidRDefault="001676E4" w:rsidP="001676E4">
      <w:pPr>
        <w:spacing w:after="0" w:line="360" w:lineRule="auto"/>
        <w:ind w:firstLine="567"/>
        <w:jc w:val="both"/>
        <w:rPr>
          <w:rFonts w:cs="Arial"/>
          <w:sz w:val="22"/>
          <w:szCs w:val="22"/>
        </w:rPr>
      </w:pPr>
      <w:r w:rsidRPr="00317DE2">
        <w:rPr>
          <w:rFonts w:cs="Arial"/>
          <w:sz w:val="22"/>
          <w:szCs w:val="22"/>
        </w:rPr>
        <w:t>Inną kategorią wartą uwagi jest uczczenie jakiegoś osiągnięcia – 19,7% w 2025 roku oraz 15,2% w 2019</w:t>
      </w:r>
      <w:r w:rsidR="00012BA4">
        <w:rPr>
          <w:rFonts w:cs="Arial"/>
          <w:sz w:val="22"/>
          <w:szCs w:val="22"/>
        </w:rPr>
        <w:t xml:space="preserve"> roku</w:t>
      </w:r>
      <w:r w:rsidRPr="00317DE2">
        <w:rPr>
          <w:rFonts w:cs="Arial"/>
          <w:sz w:val="22"/>
          <w:szCs w:val="22"/>
        </w:rPr>
        <w:t>. Okazje</w:t>
      </w:r>
      <w:r w:rsidR="00012BA4">
        <w:rPr>
          <w:rFonts w:cs="Arial"/>
          <w:sz w:val="22"/>
          <w:szCs w:val="22"/>
        </w:rPr>
        <w:t>,</w:t>
      </w:r>
      <w:r w:rsidRPr="00317DE2">
        <w:rPr>
          <w:rFonts w:cs="Arial"/>
          <w:sz w:val="22"/>
          <w:szCs w:val="22"/>
        </w:rPr>
        <w:t xml:space="preserve"> takie jak spotkania służbowe, imprezy studenckie czy wypłata/emerytura uzyskały niższe, choć wciąż zauważalne wyniki (do ok. 6%).</w:t>
      </w:r>
    </w:p>
    <w:p w14:paraId="5C122DB8" w14:textId="77777777" w:rsidR="001676E4" w:rsidRPr="00317DE2" w:rsidRDefault="001676E4" w:rsidP="001676E4">
      <w:pPr>
        <w:tabs>
          <w:tab w:val="left" w:pos="1246"/>
        </w:tabs>
        <w:spacing w:after="0" w:line="360" w:lineRule="auto"/>
        <w:ind w:firstLine="567"/>
        <w:jc w:val="both"/>
        <w:rPr>
          <w:rFonts w:cs="Arial"/>
          <w:sz w:val="22"/>
          <w:szCs w:val="22"/>
        </w:rPr>
      </w:pPr>
      <w:r w:rsidRPr="00317DE2">
        <w:rPr>
          <w:rFonts w:cs="Arial"/>
          <w:sz w:val="22"/>
          <w:szCs w:val="22"/>
        </w:rPr>
        <w:t>Pozostałe okazje, takie jak „inne” czy „otrzymanie renty/emerytury”, nie wyróżniały się pod względem liczby wskazań, choć warto zaznaczyć, że każda z kategorii została przynajmniej raz wskazana przez osoby badane. To pokazuje, że spożywanie alkoholu jest zjawiskiem powszechnym i może towarzyszyć zarówno wydarzeniom wyjątkowym, jak i codziennym sytuacjom bez wyraźnej okazji.</w:t>
      </w:r>
    </w:p>
    <w:p w14:paraId="4070CE4D" w14:textId="77777777" w:rsidR="001676E4" w:rsidRPr="0054713D" w:rsidRDefault="001676E4" w:rsidP="001676E4">
      <w:pPr>
        <w:pStyle w:val="Legenda"/>
        <w:keepNext/>
        <w:jc w:val="both"/>
        <w:rPr>
          <w:sz w:val="20"/>
          <w:szCs w:val="16"/>
        </w:rPr>
      </w:pPr>
      <w:bookmarkStart w:id="17" w:name="_Toc214279926"/>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9</w:t>
      </w:r>
      <w:r w:rsidRPr="0054713D">
        <w:rPr>
          <w:sz w:val="20"/>
          <w:szCs w:val="16"/>
        </w:rPr>
        <w:fldChar w:fldCharType="end"/>
      </w:r>
      <w:r w:rsidRPr="0054713D">
        <w:rPr>
          <w:sz w:val="20"/>
          <w:szCs w:val="16"/>
        </w:rPr>
        <w:t>. Przyczyny używania alkoholu</w:t>
      </w:r>
      <w:bookmarkEnd w:id="17"/>
    </w:p>
    <w:p w14:paraId="42A72D60" w14:textId="77777777" w:rsidR="001676E4" w:rsidRPr="00317DE2" w:rsidRDefault="001676E4" w:rsidP="001676E4">
      <w:pPr>
        <w:jc w:val="both"/>
        <w:rPr>
          <w:rFonts w:cs="Arial"/>
          <w:sz w:val="22"/>
          <w:szCs w:val="22"/>
        </w:rPr>
      </w:pPr>
      <w:r w:rsidRPr="00317DE2">
        <w:rPr>
          <w:rFonts w:cs="Arial"/>
          <w:noProof/>
          <w:sz w:val="22"/>
          <w:szCs w:val="22"/>
        </w:rPr>
        <w:drawing>
          <wp:inline distT="0" distB="0" distL="0" distR="0" wp14:anchorId="112B66C8" wp14:editId="4912B20A">
            <wp:extent cx="5760720" cy="2893039"/>
            <wp:effectExtent l="0" t="0" r="0" b="3175"/>
            <wp:docPr id="482007739" name="Wykres 1">
              <a:extLst xmlns:a="http://schemas.openxmlformats.org/drawingml/2006/main">
                <a:ext uri="{FF2B5EF4-FFF2-40B4-BE49-F238E27FC236}">
                  <a16:creationId xmlns:a16="http://schemas.microsoft.com/office/drawing/2014/main" id="{F2D87AF0-F95E-CA3A-FBC9-D887C0432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785BDA"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0BD1BA04" w14:textId="77777777" w:rsidR="00C7010E" w:rsidRDefault="00C7010E" w:rsidP="001676E4">
      <w:pPr>
        <w:spacing w:after="0" w:line="360" w:lineRule="auto"/>
        <w:ind w:firstLine="567"/>
        <w:jc w:val="both"/>
        <w:rPr>
          <w:rFonts w:cs="Arial"/>
          <w:sz w:val="22"/>
          <w:szCs w:val="22"/>
        </w:rPr>
      </w:pPr>
    </w:p>
    <w:p w14:paraId="228487B4" w14:textId="7577B117" w:rsidR="001676E4" w:rsidRPr="00317DE2" w:rsidRDefault="001676E4" w:rsidP="001676E4">
      <w:pPr>
        <w:spacing w:after="0" w:line="360" w:lineRule="auto"/>
        <w:ind w:firstLine="567"/>
        <w:jc w:val="both"/>
        <w:rPr>
          <w:rFonts w:cs="Arial"/>
          <w:sz w:val="22"/>
          <w:szCs w:val="22"/>
        </w:rPr>
      </w:pPr>
      <w:r w:rsidRPr="00317DE2">
        <w:rPr>
          <w:rFonts w:cs="Arial"/>
          <w:sz w:val="22"/>
          <w:szCs w:val="22"/>
        </w:rPr>
        <w:t xml:space="preserve">Wykres nr 9 przedstawia przyczyny używania alkoholu w latach 2019 i 2025, z podziałem na konkretne motywacje deklarowane przez osoby badane. Najwyższe wyniki odnotowano przy przyczynie, jaką jest chęć poprawy nastroju – w 2025 roku aż 63,2% respondentów wskazało ten powód, co stanowi wyraźny wzrost w porównaniu do 56,8% w 2019 roku. Drugim najwyższym wynikiem była chęć rozładowania napięcia i/lub stresu, którą w 2025 roku wskazało </w:t>
      </w:r>
      <w:r w:rsidRPr="00317DE2">
        <w:rPr>
          <w:rFonts w:cs="Arial"/>
          <w:sz w:val="22"/>
          <w:szCs w:val="22"/>
        </w:rPr>
        <w:lastRenderedPageBreak/>
        <w:t>61,9% osób (wzrost z 35,7% w 2019 roku). Trzecim najczęściej deklarowanym powodem było picie bez konkretnego powodu – „bo mam ochotę” – 29,1% w 2025 roku, przy 29,3% w 2019 roku, co świadczy o utrzymującej się tendencji.</w:t>
      </w:r>
    </w:p>
    <w:p w14:paraId="5156D756"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Równie wysokie wartości uzyskały motywy towarzyskie i emocjonalne, takie jak dla spotkania z innymi i dodania sobie odwagi (21,5% w 2025) oraz dla poprawy energii przed pracą lub obowiązkami (15,4%). W 2025 roku więcej osób niż wcześniej zadeklarowało także chęć napicia się, ponieważ „coś świętuję/chcę przeżyć coś wyjątkowego” – 11% wobec 9,3% w 2019 roku.</w:t>
      </w:r>
    </w:p>
    <w:p w14:paraId="0B8FDB02"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Na uwagę zasługuje także grupa odpowiedzi związanych z niską samooceną i napięciem – np. „chciałem/</w:t>
      </w:r>
      <w:proofErr w:type="spellStart"/>
      <w:r w:rsidRPr="00317DE2">
        <w:rPr>
          <w:rFonts w:cs="Arial"/>
          <w:sz w:val="22"/>
          <w:szCs w:val="22"/>
        </w:rPr>
        <w:t>am</w:t>
      </w:r>
      <w:proofErr w:type="spellEnd"/>
      <w:r w:rsidRPr="00317DE2">
        <w:rPr>
          <w:rFonts w:cs="Arial"/>
          <w:sz w:val="22"/>
          <w:szCs w:val="22"/>
        </w:rPr>
        <w:t xml:space="preserve"> poczuć się pewniej w towarzystwie” czy „chciałem/</w:t>
      </w:r>
      <w:proofErr w:type="spellStart"/>
      <w:r w:rsidRPr="00317DE2">
        <w:rPr>
          <w:rFonts w:cs="Arial"/>
          <w:sz w:val="22"/>
          <w:szCs w:val="22"/>
        </w:rPr>
        <w:t>am</w:t>
      </w:r>
      <w:proofErr w:type="spellEnd"/>
      <w:r w:rsidRPr="00317DE2">
        <w:rPr>
          <w:rFonts w:cs="Arial"/>
          <w:sz w:val="22"/>
          <w:szCs w:val="22"/>
        </w:rPr>
        <w:t xml:space="preserve"> zapanować nad emocjami”, które choć wskazywane rzadziej (8,6% i 7,5%), pokazują psychologiczne podłoże picia.</w:t>
      </w:r>
    </w:p>
    <w:p w14:paraId="28D18A42" w14:textId="77777777" w:rsidR="001676E4" w:rsidRPr="00317DE2" w:rsidRDefault="001676E4" w:rsidP="001676E4">
      <w:pPr>
        <w:spacing w:after="0" w:line="360" w:lineRule="auto"/>
        <w:ind w:firstLine="567"/>
        <w:jc w:val="both"/>
        <w:rPr>
          <w:rFonts w:cs="Arial"/>
          <w:sz w:val="22"/>
          <w:szCs w:val="22"/>
        </w:rPr>
      </w:pPr>
      <w:r w:rsidRPr="00317DE2">
        <w:rPr>
          <w:rFonts w:cs="Arial"/>
          <w:sz w:val="22"/>
          <w:szCs w:val="22"/>
        </w:rPr>
        <w:t>Pozostałe przyczyny, jak chęć bycia bardziej atrakcyjnym, poczucie wolności, wykazania się odwagą czy inne powody, nie wyróżniały się wysokimi wynikami, choć również zostały wskazane. Widać więc, że osoby badane sięgały po alkohol z różnych powodów – od</w:t>
      </w:r>
      <w:r w:rsidRPr="00317DE2">
        <w:rPr>
          <w:rFonts w:cs="Arial"/>
          <w:b/>
          <w:bCs/>
          <w:sz w:val="22"/>
          <w:szCs w:val="22"/>
        </w:rPr>
        <w:t xml:space="preserve"> </w:t>
      </w:r>
      <w:r w:rsidRPr="00317DE2">
        <w:rPr>
          <w:rFonts w:cs="Arial"/>
          <w:sz w:val="22"/>
          <w:szCs w:val="22"/>
        </w:rPr>
        <w:t>emocjonalnych, przez społeczne, po impulsywne – i choć intensywność była różna, każda z tych przyczyn miała miejsce.</w:t>
      </w:r>
    </w:p>
    <w:p w14:paraId="09B1D81A" w14:textId="77777777" w:rsidR="001676E4" w:rsidRPr="0054713D" w:rsidRDefault="001676E4" w:rsidP="001676E4">
      <w:pPr>
        <w:pStyle w:val="Legenda"/>
        <w:keepNext/>
        <w:jc w:val="both"/>
        <w:rPr>
          <w:sz w:val="20"/>
          <w:szCs w:val="16"/>
        </w:rPr>
      </w:pPr>
      <w:bookmarkStart w:id="18" w:name="_Toc214279927"/>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10</w:t>
      </w:r>
      <w:r w:rsidRPr="0054713D">
        <w:rPr>
          <w:sz w:val="20"/>
          <w:szCs w:val="16"/>
        </w:rPr>
        <w:fldChar w:fldCharType="end"/>
      </w:r>
      <w:r w:rsidRPr="0054713D">
        <w:rPr>
          <w:sz w:val="20"/>
          <w:szCs w:val="16"/>
        </w:rPr>
        <w:t>. Używanie alkoholu, a inne osoby</w:t>
      </w:r>
      <w:bookmarkEnd w:id="18"/>
    </w:p>
    <w:p w14:paraId="06BC13EC" w14:textId="77777777" w:rsidR="001676E4" w:rsidRPr="00317DE2" w:rsidRDefault="001676E4" w:rsidP="001676E4">
      <w:pPr>
        <w:spacing w:line="360" w:lineRule="auto"/>
        <w:jc w:val="both"/>
        <w:rPr>
          <w:rFonts w:cs="Arial"/>
          <w:sz w:val="22"/>
          <w:szCs w:val="22"/>
        </w:rPr>
      </w:pPr>
      <w:r w:rsidRPr="00317DE2">
        <w:rPr>
          <w:rFonts w:cs="Arial"/>
          <w:noProof/>
          <w:sz w:val="22"/>
          <w:szCs w:val="22"/>
        </w:rPr>
        <w:drawing>
          <wp:inline distT="0" distB="0" distL="0" distR="0" wp14:anchorId="6D4509FD" wp14:editId="0C9D1F62">
            <wp:extent cx="5785485" cy="2289842"/>
            <wp:effectExtent l="0" t="0" r="5715" b="0"/>
            <wp:docPr id="22206309" name="Wykres 1">
              <a:extLst xmlns:a="http://schemas.openxmlformats.org/drawingml/2006/main">
                <a:ext uri="{FF2B5EF4-FFF2-40B4-BE49-F238E27FC236}">
                  <a16:creationId xmlns:a16="http://schemas.microsoft.com/office/drawing/2014/main" id="{0E7032EB-EA72-A56C-53EA-ADD9F9F29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9C94DC"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3A8992A7" w14:textId="77777777" w:rsidR="00C7010E" w:rsidRDefault="00C7010E" w:rsidP="001676E4">
      <w:pPr>
        <w:spacing w:after="0" w:line="360" w:lineRule="auto"/>
        <w:ind w:firstLine="567"/>
        <w:jc w:val="both"/>
        <w:rPr>
          <w:rFonts w:cs="Arial"/>
          <w:sz w:val="22"/>
          <w:szCs w:val="22"/>
        </w:rPr>
      </w:pPr>
    </w:p>
    <w:p w14:paraId="7854FA3B" w14:textId="5DB66D3D" w:rsidR="001676E4" w:rsidRPr="003D1277" w:rsidRDefault="001676E4" w:rsidP="001676E4">
      <w:pPr>
        <w:spacing w:after="0" w:line="360" w:lineRule="auto"/>
        <w:ind w:firstLine="567"/>
        <w:jc w:val="both"/>
        <w:rPr>
          <w:rFonts w:cs="Arial"/>
          <w:sz w:val="22"/>
          <w:szCs w:val="22"/>
        </w:rPr>
      </w:pPr>
      <w:r w:rsidRPr="00317DE2">
        <w:rPr>
          <w:rFonts w:cs="Arial"/>
          <w:sz w:val="22"/>
          <w:szCs w:val="22"/>
        </w:rPr>
        <w:t xml:space="preserve">Wykres nr 10 przedstawia używanie alkoholu w kontekście obecności innych osób w latach 2019 i 2025. Najwięcej badanych w obu latach deklarowało picie </w:t>
      </w:r>
      <w:r w:rsidRPr="00317DE2">
        <w:rPr>
          <w:rFonts w:cs="Arial"/>
          <w:bCs/>
          <w:sz w:val="22"/>
          <w:szCs w:val="22"/>
        </w:rPr>
        <w:t>najczęściej w obecności innych</w:t>
      </w:r>
      <w:r w:rsidRPr="00317DE2">
        <w:rPr>
          <w:rFonts w:cs="Arial"/>
          <w:sz w:val="22"/>
          <w:szCs w:val="22"/>
        </w:rPr>
        <w:t xml:space="preserve"> (2025 – 55%, 2019 – 51%). Jednocześnie zauważalnie wzrosło picie </w:t>
      </w:r>
      <w:r w:rsidRPr="00317DE2">
        <w:rPr>
          <w:rFonts w:cs="Arial"/>
          <w:bCs/>
          <w:sz w:val="22"/>
          <w:szCs w:val="22"/>
        </w:rPr>
        <w:t>w</w:t>
      </w:r>
      <w:r>
        <w:rPr>
          <w:rFonts w:cs="Arial"/>
          <w:bCs/>
          <w:sz w:val="22"/>
          <w:szCs w:val="22"/>
        </w:rPr>
        <w:t> </w:t>
      </w:r>
      <w:r w:rsidRPr="00317DE2">
        <w:rPr>
          <w:rFonts w:cs="Arial"/>
          <w:bCs/>
          <w:sz w:val="22"/>
          <w:szCs w:val="22"/>
        </w:rPr>
        <w:t>samotności</w:t>
      </w:r>
      <w:r w:rsidRPr="00317DE2">
        <w:rPr>
          <w:rFonts w:cs="Arial"/>
          <w:sz w:val="22"/>
          <w:szCs w:val="22"/>
        </w:rPr>
        <w:t xml:space="preserve"> – „najczęściej w samotności” zadeklarowało 18,8% w 2025 roku (wzrost z 11%), a „zawsze w </w:t>
      </w:r>
      <w:r w:rsidRPr="003D1277">
        <w:rPr>
          <w:rFonts w:cs="Arial"/>
          <w:sz w:val="22"/>
          <w:szCs w:val="22"/>
        </w:rPr>
        <w:t>samotności” 6,8% (z 3,3%).</w:t>
      </w:r>
    </w:p>
    <w:p w14:paraId="6F109DCB" w14:textId="77777777" w:rsidR="001676E4" w:rsidRPr="003D1277" w:rsidRDefault="001676E4" w:rsidP="001676E4">
      <w:pPr>
        <w:spacing w:after="0" w:line="360" w:lineRule="auto"/>
        <w:ind w:firstLine="567"/>
        <w:jc w:val="both"/>
        <w:rPr>
          <w:rFonts w:cs="Arial"/>
          <w:sz w:val="22"/>
          <w:szCs w:val="22"/>
        </w:rPr>
      </w:pPr>
      <w:r w:rsidRPr="003D1277">
        <w:rPr>
          <w:rFonts w:cs="Arial"/>
          <w:sz w:val="22"/>
          <w:szCs w:val="22"/>
        </w:rPr>
        <w:lastRenderedPageBreak/>
        <w:t>Z danych wynika, że choć picie towarzyskie dominuje, to rośnie udział spożycia samotnego, co może świadczyć o zwiększonym ryzyku nadużywania alkoholu z powodów emocjonalnych.</w:t>
      </w:r>
    </w:p>
    <w:p w14:paraId="6B827865" w14:textId="77777777" w:rsidR="001676E4" w:rsidRPr="0054713D" w:rsidRDefault="001676E4" w:rsidP="001676E4">
      <w:pPr>
        <w:pStyle w:val="Legenda"/>
        <w:keepNext/>
        <w:jc w:val="both"/>
        <w:rPr>
          <w:sz w:val="20"/>
          <w:szCs w:val="16"/>
        </w:rPr>
      </w:pPr>
      <w:bookmarkStart w:id="19" w:name="_Toc214279928"/>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11</w:t>
      </w:r>
      <w:r w:rsidRPr="0054713D">
        <w:rPr>
          <w:sz w:val="20"/>
          <w:szCs w:val="16"/>
        </w:rPr>
        <w:fldChar w:fldCharType="end"/>
      </w:r>
      <w:r w:rsidRPr="0054713D">
        <w:rPr>
          <w:sz w:val="20"/>
          <w:szCs w:val="16"/>
        </w:rPr>
        <w:t>. Upojenie alkoholowe</w:t>
      </w:r>
      <w:bookmarkEnd w:id="19"/>
    </w:p>
    <w:p w14:paraId="07519A14" w14:textId="77777777" w:rsidR="001676E4" w:rsidRPr="00317DE2" w:rsidRDefault="001676E4" w:rsidP="001676E4">
      <w:pPr>
        <w:jc w:val="both"/>
        <w:rPr>
          <w:rFonts w:cs="Arial"/>
          <w:sz w:val="22"/>
          <w:szCs w:val="22"/>
        </w:rPr>
      </w:pPr>
      <w:r w:rsidRPr="00317DE2">
        <w:rPr>
          <w:rFonts w:cs="Arial"/>
          <w:noProof/>
          <w:sz w:val="22"/>
          <w:szCs w:val="22"/>
        </w:rPr>
        <w:drawing>
          <wp:inline distT="0" distB="0" distL="0" distR="0" wp14:anchorId="02C99872" wp14:editId="0AE9F67A">
            <wp:extent cx="5847550" cy="3246504"/>
            <wp:effectExtent l="0" t="0" r="1270" b="0"/>
            <wp:docPr id="1492076999" name="Wykres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5EDABC" w14:textId="77777777" w:rsidR="00C7010E" w:rsidRPr="00C7010E" w:rsidRDefault="00C7010E" w:rsidP="00C7010E">
      <w:pPr>
        <w:spacing w:after="0" w:line="240" w:lineRule="auto"/>
        <w:ind w:firstLine="567"/>
        <w:jc w:val="both"/>
        <w:rPr>
          <w:rFonts w:cs="Arial"/>
          <w:sz w:val="18"/>
          <w:szCs w:val="18"/>
        </w:rPr>
      </w:pPr>
      <w:r w:rsidRPr="00C7010E">
        <w:rPr>
          <w:rFonts w:cs="Arial"/>
          <w:sz w:val="18"/>
          <w:szCs w:val="18"/>
        </w:rPr>
        <w:t>Źródło: Diagnoza województwa lubelskiego w zakresie używania substancji psychoaktywnych wśród osób dorosłych oraz ich dostępności, Lublin 2025</w:t>
      </w:r>
    </w:p>
    <w:p w14:paraId="6090AD95" w14:textId="1856C87C" w:rsidR="001676E4" w:rsidRPr="00317DE2" w:rsidRDefault="001676E4" w:rsidP="001676E4">
      <w:pPr>
        <w:spacing w:before="100" w:beforeAutospacing="1" w:after="100" w:afterAutospacing="1" w:line="360" w:lineRule="auto"/>
        <w:ind w:firstLine="567"/>
        <w:jc w:val="both"/>
        <w:rPr>
          <w:rFonts w:cs="Arial"/>
          <w:sz w:val="22"/>
          <w:szCs w:val="22"/>
        </w:rPr>
      </w:pPr>
      <w:r w:rsidRPr="00317DE2">
        <w:rPr>
          <w:rFonts w:cs="Arial"/>
          <w:sz w:val="22"/>
          <w:szCs w:val="22"/>
        </w:rPr>
        <w:t xml:space="preserve">Wykres nr 11 przedstawia częstotliwość </w:t>
      </w:r>
      <w:r w:rsidRPr="00317DE2">
        <w:rPr>
          <w:rFonts w:cs="Arial"/>
          <w:bCs/>
          <w:sz w:val="22"/>
          <w:szCs w:val="22"/>
        </w:rPr>
        <w:t>upojenia alkoholowego</w:t>
      </w:r>
      <w:r w:rsidRPr="00317DE2">
        <w:rPr>
          <w:rFonts w:cs="Arial"/>
          <w:sz w:val="22"/>
          <w:szCs w:val="22"/>
        </w:rPr>
        <w:t xml:space="preserve"> w trzech przedziałach czasowych: </w:t>
      </w:r>
      <w:r w:rsidRPr="00317DE2">
        <w:rPr>
          <w:rFonts w:cs="Arial"/>
          <w:bCs/>
          <w:sz w:val="22"/>
          <w:szCs w:val="22"/>
        </w:rPr>
        <w:t>w życiu</w:t>
      </w:r>
      <w:r w:rsidRPr="00317DE2">
        <w:rPr>
          <w:rFonts w:cs="Arial"/>
          <w:sz w:val="22"/>
          <w:szCs w:val="22"/>
        </w:rPr>
        <w:t xml:space="preserve">, </w:t>
      </w:r>
      <w:r w:rsidRPr="00317DE2">
        <w:rPr>
          <w:rFonts w:cs="Arial"/>
          <w:bCs/>
          <w:sz w:val="22"/>
          <w:szCs w:val="22"/>
        </w:rPr>
        <w:t>w ciągu ostatnich 12 miesięcy</w:t>
      </w:r>
      <w:r w:rsidRPr="00317DE2">
        <w:rPr>
          <w:rFonts w:cs="Arial"/>
          <w:sz w:val="22"/>
          <w:szCs w:val="22"/>
        </w:rPr>
        <w:t xml:space="preserve"> oraz </w:t>
      </w:r>
      <w:r w:rsidRPr="00317DE2">
        <w:rPr>
          <w:rFonts w:cs="Arial"/>
          <w:bCs/>
          <w:sz w:val="22"/>
          <w:szCs w:val="22"/>
        </w:rPr>
        <w:t>w ciągu ostatnich 30 dni</w:t>
      </w:r>
      <w:r w:rsidRPr="00317DE2">
        <w:rPr>
          <w:rFonts w:cs="Arial"/>
          <w:sz w:val="22"/>
          <w:szCs w:val="22"/>
        </w:rPr>
        <w:t>.</w:t>
      </w:r>
    </w:p>
    <w:p w14:paraId="29600F70" w14:textId="77777777" w:rsidR="001676E4" w:rsidRPr="00317DE2" w:rsidRDefault="001676E4" w:rsidP="001676E4">
      <w:pPr>
        <w:spacing w:before="100" w:beforeAutospacing="1" w:after="0" w:line="360" w:lineRule="auto"/>
        <w:ind w:firstLine="567"/>
        <w:jc w:val="both"/>
        <w:rPr>
          <w:rFonts w:cs="Arial"/>
          <w:sz w:val="22"/>
          <w:szCs w:val="22"/>
        </w:rPr>
      </w:pPr>
      <w:r w:rsidRPr="00317DE2">
        <w:rPr>
          <w:rFonts w:cs="Arial"/>
          <w:sz w:val="22"/>
          <w:szCs w:val="22"/>
        </w:rPr>
        <w:t xml:space="preserve">Najwyższe wyniki odnotowano w kategorii </w:t>
      </w:r>
      <w:r w:rsidRPr="00317DE2">
        <w:rPr>
          <w:rFonts w:cs="Arial"/>
          <w:bCs/>
          <w:sz w:val="22"/>
          <w:szCs w:val="22"/>
        </w:rPr>
        <w:t>„1–2 razy w życiu”</w:t>
      </w:r>
      <w:r w:rsidRPr="00317DE2">
        <w:rPr>
          <w:rFonts w:cs="Arial"/>
          <w:sz w:val="22"/>
          <w:szCs w:val="22"/>
        </w:rPr>
        <w:t xml:space="preserve"> – aż 44% badanych przyznało, że upiło się przynajmniej raz lub dwa. W ciągu ostatnich 12 miesięcy taki epizod zadeklarowało 39%, a w ciągu ostatnich 30 dni – 12%. Drugą najczęściej wskazywaną kategorią było </w:t>
      </w:r>
      <w:r w:rsidRPr="00317DE2">
        <w:rPr>
          <w:rFonts w:cs="Arial"/>
          <w:bCs/>
          <w:sz w:val="22"/>
          <w:szCs w:val="22"/>
        </w:rPr>
        <w:t>„3–5 razy”</w:t>
      </w:r>
      <w:r w:rsidRPr="00317DE2">
        <w:rPr>
          <w:rFonts w:cs="Arial"/>
          <w:sz w:val="22"/>
          <w:szCs w:val="22"/>
        </w:rPr>
        <w:t xml:space="preserve"> – 15% w życiu, 12% w ostatnim roku i 11% w ostatnim miesiącu.</w:t>
      </w:r>
    </w:p>
    <w:p w14:paraId="653CFB26" w14:textId="77777777" w:rsidR="001676E4" w:rsidRPr="00317DE2" w:rsidRDefault="001676E4" w:rsidP="001676E4">
      <w:pPr>
        <w:spacing w:line="360" w:lineRule="auto"/>
        <w:ind w:firstLine="567"/>
        <w:jc w:val="both"/>
        <w:rPr>
          <w:rFonts w:cs="Arial"/>
          <w:sz w:val="22"/>
          <w:szCs w:val="22"/>
        </w:rPr>
      </w:pPr>
      <w:r w:rsidRPr="00317DE2">
        <w:rPr>
          <w:rFonts w:cs="Arial"/>
          <w:sz w:val="22"/>
          <w:szCs w:val="22"/>
        </w:rPr>
        <w:t xml:space="preserve">W kolejnych przedziałach liczby stopniowo maleją. Upojenie </w:t>
      </w:r>
      <w:r w:rsidRPr="00317DE2">
        <w:rPr>
          <w:rFonts w:cs="Arial"/>
          <w:bCs/>
          <w:sz w:val="22"/>
          <w:szCs w:val="22"/>
        </w:rPr>
        <w:t>6–9 razy</w:t>
      </w:r>
      <w:r w:rsidRPr="00317DE2">
        <w:rPr>
          <w:rFonts w:cs="Arial"/>
          <w:sz w:val="22"/>
          <w:szCs w:val="22"/>
        </w:rPr>
        <w:t xml:space="preserve"> zadeklarowało 14% w życiu, ale tylko 3% w ciągu roku i 1% w ostatnim miesiącu. Dla </w:t>
      </w:r>
      <w:r w:rsidRPr="00317DE2">
        <w:rPr>
          <w:rFonts w:cs="Arial"/>
          <w:bCs/>
          <w:sz w:val="22"/>
          <w:szCs w:val="22"/>
        </w:rPr>
        <w:t>40 i więcej razy</w:t>
      </w:r>
      <w:r w:rsidRPr="00317DE2">
        <w:rPr>
          <w:rFonts w:cs="Arial"/>
          <w:sz w:val="22"/>
          <w:szCs w:val="22"/>
        </w:rPr>
        <w:t>, wartości są bardzo niskie – 4% w życiu, 1% w ciągu roku, 0,5% w ciągu ostatnich 30 dni.</w:t>
      </w:r>
    </w:p>
    <w:p w14:paraId="0893CA69" w14:textId="77777777" w:rsidR="00955250" w:rsidRPr="00317DE2" w:rsidRDefault="00955250" w:rsidP="00B11CBB">
      <w:pPr>
        <w:pStyle w:val="Nagwek2"/>
      </w:pPr>
      <w:bookmarkStart w:id="20" w:name="_Toc51671024"/>
      <w:bookmarkStart w:id="21" w:name="_Toc214277554"/>
      <w:bookmarkStart w:id="22" w:name="_Toc51671021"/>
      <w:r w:rsidRPr="00317DE2">
        <w:t>Diagnoza używania alkoholu przez dzieci i młodzież</w:t>
      </w:r>
      <w:bookmarkEnd w:id="20"/>
      <w:bookmarkEnd w:id="21"/>
    </w:p>
    <w:p w14:paraId="28C8C4CF" w14:textId="510BDBB2" w:rsidR="00955250" w:rsidRPr="00317DE2" w:rsidRDefault="00955250" w:rsidP="00955250">
      <w:pPr>
        <w:tabs>
          <w:tab w:val="left" w:pos="426"/>
        </w:tabs>
        <w:spacing w:after="0" w:line="360" w:lineRule="auto"/>
        <w:jc w:val="both"/>
        <w:rPr>
          <w:rFonts w:cs="Arial"/>
          <w:sz w:val="22"/>
          <w:szCs w:val="22"/>
        </w:rPr>
      </w:pPr>
      <w:r w:rsidRPr="00317DE2">
        <w:rPr>
          <w:rFonts w:cs="Arial"/>
          <w:sz w:val="22"/>
          <w:szCs w:val="22"/>
        </w:rPr>
        <w:tab/>
        <w:t>W 2024 r</w:t>
      </w:r>
      <w:r w:rsidR="001B16D4">
        <w:rPr>
          <w:rFonts w:cs="Arial"/>
          <w:sz w:val="22"/>
          <w:szCs w:val="22"/>
        </w:rPr>
        <w:t>oku</w:t>
      </w:r>
      <w:r w:rsidRPr="00317DE2">
        <w:rPr>
          <w:rFonts w:cs="Arial"/>
          <w:sz w:val="22"/>
          <w:szCs w:val="22"/>
        </w:rPr>
        <w:t xml:space="preserve"> przeprowadzono badanie w ramach międzynarodowego projektu: „Europejski Program Badań Ankietowych w Szkołach na temat Alkoholu i Narkomanii” (ESPAD)</w:t>
      </w:r>
      <w:r w:rsidR="00C7010E">
        <w:rPr>
          <w:rStyle w:val="Odwoanieprzypisudolnego"/>
          <w:rFonts w:cs="Arial"/>
          <w:sz w:val="22"/>
          <w:szCs w:val="22"/>
        </w:rPr>
        <w:footnoteReference w:id="1"/>
      </w:r>
      <w:r w:rsidRPr="00317DE2">
        <w:rPr>
          <w:rFonts w:cs="Arial"/>
          <w:sz w:val="22"/>
          <w:szCs w:val="22"/>
        </w:rPr>
        <w:t xml:space="preserve">. </w:t>
      </w:r>
      <w:r w:rsidRPr="00317DE2">
        <w:rPr>
          <w:rFonts w:cs="Arial"/>
          <w:bCs/>
          <w:sz w:val="22"/>
          <w:szCs w:val="22"/>
        </w:rPr>
        <w:lastRenderedPageBreak/>
        <w:t>Zrealizowane badanie jest trzecim z kolei badaniem szkolnym przeprowadzonym w</w:t>
      </w:r>
      <w:r>
        <w:rPr>
          <w:rFonts w:cs="Arial"/>
          <w:bCs/>
          <w:sz w:val="22"/>
          <w:szCs w:val="22"/>
        </w:rPr>
        <w:t> </w:t>
      </w:r>
      <w:r w:rsidRPr="00317DE2">
        <w:rPr>
          <w:rFonts w:cs="Arial"/>
          <w:bCs/>
          <w:sz w:val="22"/>
          <w:szCs w:val="22"/>
        </w:rPr>
        <w:t>województwie</w:t>
      </w:r>
      <w:r w:rsidRPr="00317DE2">
        <w:rPr>
          <w:rFonts w:cs="Arial"/>
          <w:sz w:val="22"/>
          <w:szCs w:val="22"/>
        </w:rPr>
        <w:t xml:space="preserve"> lubelskim</w:t>
      </w:r>
      <w:r>
        <w:rPr>
          <w:rFonts w:cs="Arial"/>
          <w:sz w:val="22"/>
          <w:szCs w:val="22"/>
        </w:rPr>
        <w:t xml:space="preserve"> i m</w:t>
      </w:r>
      <w:r w:rsidRPr="00317DE2">
        <w:rPr>
          <w:rFonts w:cs="Arial"/>
          <w:sz w:val="22"/>
          <w:szCs w:val="22"/>
        </w:rPr>
        <w:t xml:space="preserve">iało na celu zarówno pomiar natężenia zjawiska używania przez młodzież substancji psychoaktywnych, jak i ocenę czynników wpływających na rozpowszechnienie. Badanie prowadzone jest co 4 lata </w:t>
      </w:r>
      <w:r>
        <w:rPr>
          <w:rFonts w:cs="Arial"/>
          <w:sz w:val="22"/>
          <w:szCs w:val="22"/>
        </w:rPr>
        <w:t xml:space="preserve">(2015 r., 2019 r., 2024 r.) </w:t>
      </w:r>
      <w:r w:rsidRPr="00317DE2">
        <w:rPr>
          <w:rFonts w:cs="Arial"/>
          <w:sz w:val="22"/>
          <w:szCs w:val="22"/>
        </w:rPr>
        <w:t>wg wystandaryzowanych technik. Wyniki przeprowadzonych badań pokazują, że:</w:t>
      </w:r>
    </w:p>
    <w:p w14:paraId="3933088D" w14:textId="5955C03E" w:rsidR="00955250" w:rsidRPr="00FE5C64" w:rsidRDefault="00012BA4" w:rsidP="00955250">
      <w:pPr>
        <w:numPr>
          <w:ilvl w:val="0"/>
          <w:numId w:val="5"/>
        </w:numPr>
        <w:tabs>
          <w:tab w:val="left" w:pos="284"/>
        </w:tabs>
        <w:spacing w:after="0" w:line="360" w:lineRule="auto"/>
        <w:ind w:left="284" w:hanging="284"/>
        <w:jc w:val="both"/>
        <w:rPr>
          <w:rFonts w:cs="Arial"/>
          <w:sz w:val="22"/>
          <w:szCs w:val="22"/>
        </w:rPr>
      </w:pPr>
      <w:r>
        <w:rPr>
          <w:rFonts w:cs="Arial"/>
          <w:sz w:val="22"/>
          <w:szCs w:val="22"/>
        </w:rPr>
        <w:t>n</w:t>
      </w:r>
      <w:r w:rsidR="00955250" w:rsidRPr="00317DE2">
        <w:rPr>
          <w:rFonts w:cs="Arial"/>
          <w:sz w:val="22"/>
          <w:szCs w:val="22"/>
        </w:rPr>
        <w:t xml:space="preserve">apoje alkoholowe są najbardziej rozpowszechnioną substancją psychoaktywną wśród </w:t>
      </w:r>
      <w:r w:rsidR="00955250" w:rsidRPr="00FE5C64">
        <w:rPr>
          <w:rFonts w:cs="Arial"/>
          <w:sz w:val="22"/>
          <w:szCs w:val="22"/>
        </w:rPr>
        <w:t>młodzieży szkolnej, podobnie jak wśród dorosłych. Próby picia ma za sobą 67,5% młodszych uczniów i 86% starszych;</w:t>
      </w:r>
    </w:p>
    <w:p w14:paraId="75DBCA68" w14:textId="77777777" w:rsidR="00955250" w:rsidRPr="00FE5C64" w:rsidRDefault="00955250" w:rsidP="00955250">
      <w:pPr>
        <w:numPr>
          <w:ilvl w:val="0"/>
          <w:numId w:val="5"/>
        </w:numPr>
        <w:tabs>
          <w:tab w:val="left" w:pos="284"/>
        </w:tabs>
        <w:spacing w:after="0" w:line="360" w:lineRule="auto"/>
        <w:ind w:left="284" w:hanging="284"/>
        <w:jc w:val="both"/>
        <w:rPr>
          <w:rFonts w:cs="Arial"/>
          <w:sz w:val="22"/>
          <w:szCs w:val="22"/>
        </w:rPr>
      </w:pPr>
      <w:r w:rsidRPr="00FE5C64">
        <w:rPr>
          <w:rFonts w:cs="Arial"/>
          <w:sz w:val="22"/>
          <w:szCs w:val="22"/>
        </w:rPr>
        <w:t>rozpowszechnienie picia alkoholu nie jest zróżnicowane ze względu na płeć (wskaźniki w</w:t>
      </w:r>
      <w:r>
        <w:rPr>
          <w:rFonts w:cs="Arial"/>
          <w:sz w:val="22"/>
          <w:szCs w:val="22"/>
        </w:rPr>
        <w:t> </w:t>
      </w:r>
      <w:r w:rsidRPr="00FE5C64">
        <w:rPr>
          <w:rFonts w:cs="Arial"/>
          <w:sz w:val="22"/>
          <w:szCs w:val="22"/>
        </w:rPr>
        <w:t>obydwu grupach wiekowych są na podobnym poziomie);</w:t>
      </w:r>
    </w:p>
    <w:p w14:paraId="0BF0F909" w14:textId="77777777" w:rsidR="00955250" w:rsidRPr="00FE5C64" w:rsidRDefault="00955250" w:rsidP="00955250">
      <w:pPr>
        <w:pStyle w:val="Akapitzlist"/>
        <w:numPr>
          <w:ilvl w:val="0"/>
          <w:numId w:val="5"/>
        </w:numPr>
        <w:spacing w:after="0" w:line="360" w:lineRule="auto"/>
        <w:ind w:left="284" w:hanging="284"/>
        <w:jc w:val="both"/>
        <w:rPr>
          <w:rFonts w:cs="Arial"/>
          <w:sz w:val="22"/>
          <w:szCs w:val="22"/>
        </w:rPr>
      </w:pPr>
      <w:r w:rsidRPr="00FE5C64">
        <w:rPr>
          <w:rFonts w:cs="Arial"/>
          <w:sz w:val="22"/>
          <w:szCs w:val="22"/>
        </w:rPr>
        <w:t>stanu silnego upojenia alkoholem doświadczyło chociaż raz w życiu 30,03% młodszych uczniów i 52% uczniów ze starszej grupy. Wskaźniki silnego upijania się przybierają wyższe wartości u dziewcząt niż u chłopców, bez względu na wiek;</w:t>
      </w:r>
    </w:p>
    <w:p w14:paraId="1F98C6EB" w14:textId="49BCFE5D" w:rsidR="00C7010E" w:rsidRDefault="00955250" w:rsidP="00C7010E">
      <w:pPr>
        <w:pStyle w:val="Akapitzlist"/>
        <w:numPr>
          <w:ilvl w:val="0"/>
          <w:numId w:val="5"/>
        </w:numPr>
        <w:spacing w:after="0" w:line="360" w:lineRule="auto"/>
        <w:ind w:left="284" w:hanging="284"/>
        <w:jc w:val="both"/>
        <w:rPr>
          <w:rFonts w:cs="Arial"/>
          <w:sz w:val="22"/>
          <w:szCs w:val="22"/>
        </w:rPr>
      </w:pPr>
      <w:r w:rsidRPr="00FE5C64">
        <w:rPr>
          <w:rFonts w:cs="Arial"/>
          <w:sz w:val="22"/>
          <w:szCs w:val="22"/>
        </w:rPr>
        <w:t>w badaniu przyjęto obiektywną miarę nadmiernego spożycia przy jednej okazji. Taką miarą było 5 drinków lub więcej. W młodszej grupie przynajmniej raz</w:t>
      </w:r>
      <w:r w:rsidR="00012BA4">
        <w:rPr>
          <w:rFonts w:cs="Arial"/>
          <w:sz w:val="22"/>
          <w:szCs w:val="22"/>
        </w:rPr>
        <w:t>,</w:t>
      </w:r>
      <w:r w:rsidRPr="00FE5C64">
        <w:rPr>
          <w:rFonts w:cs="Arial"/>
          <w:sz w:val="22"/>
          <w:szCs w:val="22"/>
        </w:rPr>
        <w:t xml:space="preserve"> w ciągu ostatnich 30 dni przed badaniem, 11,7% badanych wypiło ponad 5 drinków przy jednej okazji,</w:t>
      </w:r>
      <w:r>
        <w:rPr>
          <w:rFonts w:cs="Arial"/>
          <w:sz w:val="22"/>
          <w:szCs w:val="22"/>
        </w:rPr>
        <w:t xml:space="preserve"> </w:t>
      </w:r>
      <w:r w:rsidRPr="00FE5C64">
        <w:rPr>
          <w:rFonts w:cs="Arial"/>
          <w:sz w:val="22"/>
          <w:szCs w:val="22"/>
        </w:rPr>
        <w:t>a w starszej grupie takich uczniów było 17,9%. Wskaźniki silnego upijania się są nieznacznie zróżnicowane ze względu na płeć, szczególnie w grupie starszych uczniów. W młodszej kohorcie, doświadczenia z upijaniem się kiedykolwiek w życiu, w czasie ostatniego roku przed badaniem oraz w czasie ostatnich 30 dni można częściej zaobserwować wśród dziewcząt niż wśród chłopców. Podobnie jest w starszej kohorcie, z wyjątkiem doświadczeń z upiciem się w czasie ostatnich 30 dni przed badaniem;</w:t>
      </w:r>
    </w:p>
    <w:p w14:paraId="7BDBCA7F" w14:textId="77777777" w:rsidR="00C7010E" w:rsidRDefault="00955250" w:rsidP="00C7010E">
      <w:pPr>
        <w:pStyle w:val="Akapitzlist"/>
        <w:numPr>
          <w:ilvl w:val="0"/>
          <w:numId w:val="5"/>
        </w:numPr>
        <w:spacing w:after="0" w:line="360" w:lineRule="auto"/>
        <w:ind w:left="284" w:hanging="284"/>
        <w:jc w:val="both"/>
        <w:rPr>
          <w:rFonts w:cs="Arial"/>
          <w:sz w:val="22"/>
          <w:szCs w:val="22"/>
        </w:rPr>
      </w:pPr>
      <w:r w:rsidRPr="00C7010E">
        <w:rPr>
          <w:rFonts w:cs="Arial"/>
          <w:sz w:val="22"/>
          <w:szCs w:val="22"/>
        </w:rPr>
        <w:t>najczęściej spożywanym rodzajem alkoholu przez uczniów</w:t>
      </w:r>
      <w:bookmarkStart w:id="23" w:name="_Hlk40876658"/>
      <w:r w:rsidRPr="00C7010E">
        <w:rPr>
          <w:rFonts w:cs="Arial"/>
          <w:sz w:val="22"/>
          <w:szCs w:val="22"/>
        </w:rPr>
        <w:t xml:space="preserve"> w ciągu ostatniego miesiąca przed badaniem </w:t>
      </w:r>
      <w:bookmarkEnd w:id="23"/>
      <w:r w:rsidRPr="00C7010E">
        <w:rPr>
          <w:rFonts w:cs="Arial"/>
          <w:sz w:val="22"/>
          <w:szCs w:val="22"/>
        </w:rPr>
        <w:t xml:space="preserve">było piwo (31,3% uczniów młodszych i ponad 48,3% ze starszej kohorty) oraz wódka (26,9% młodszych uczniów, 44,2% starszych uczniów). Wino piła prawie jedna piąta młodszej młodzieży objętej badaniem (18,8%) i ponad jedna czwarta uczniów ze starszej grupy (26,2%). Piwo jest popularne wśród młodzieży bez względu na płeć. Wino chętniej piją dziewczęta, szczególnie starsze. Picie wódki z kolei jest bardziej rozpowszechnione wśród dziewcząt w młodszej grupie (dziewczęta 30,5%, zaś chłopcy 23,6%), natomiast w starszej kohorcie wiekowej jest porównywalne (dziewczęta 43,9%, chłopcy 44,5%). Najrzadziej spożywanymi napojami były </w:t>
      </w:r>
      <w:proofErr w:type="spellStart"/>
      <w:r w:rsidRPr="00C7010E">
        <w:rPr>
          <w:rFonts w:cs="Arial"/>
          <w:sz w:val="22"/>
          <w:szCs w:val="22"/>
        </w:rPr>
        <w:t>cider</w:t>
      </w:r>
      <w:proofErr w:type="spellEnd"/>
      <w:r w:rsidRPr="00C7010E">
        <w:rPr>
          <w:rFonts w:cs="Arial"/>
          <w:sz w:val="22"/>
          <w:szCs w:val="22"/>
        </w:rPr>
        <w:t xml:space="preserve"> i </w:t>
      </w:r>
      <w:proofErr w:type="spellStart"/>
      <w:r w:rsidRPr="00C7010E">
        <w:rPr>
          <w:rFonts w:cs="Arial"/>
          <w:sz w:val="22"/>
          <w:szCs w:val="22"/>
        </w:rPr>
        <w:t>alkopop</w:t>
      </w:r>
      <w:proofErr w:type="spellEnd"/>
      <w:r w:rsidRPr="00C7010E">
        <w:rPr>
          <w:rFonts w:cs="Arial"/>
          <w:sz w:val="22"/>
          <w:szCs w:val="22"/>
        </w:rPr>
        <w:t xml:space="preserve"> (kolorowy drink</w:t>
      </w:r>
      <w:r w:rsidRPr="00C7010E">
        <w:rPr>
          <w:rFonts w:cs="Arial"/>
          <w:sz w:val="22"/>
          <w:szCs w:val="22"/>
        </w:rPr>
        <w:br/>
        <w:t>w małych butelkach o niewielkiej zawartości alkoholu). Niewielkie różnice między płciami wskazują na proces homogenizacji wzorów picia związany z emancypacją dziewcząt, mimo, że w naszej kulturze używanie alkoholu to raczej domena mężczyzn;</w:t>
      </w:r>
    </w:p>
    <w:p w14:paraId="7212575B" w14:textId="77777777" w:rsidR="00C7010E" w:rsidRDefault="00955250" w:rsidP="00C7010E">
      <w:pPr>
        <w:pStyle w:val="Akapitzlist"/>
        <w:numPr>
          <w:ilvl w:val="0"/>
          <w:numId w:val="5"/>
        </w:numPr>
        <w:spacing w:after="0" w:line="360" w:lineRule="auto"/>
        <w:ind w:left="284" w:hanging="284"/>
        <w:jc w:val="both"/>
        <w:rPr>
          <w:rFonts w:cs="Arial"/>
          <w:sz w:val="22"/>
          <w:szCs w:val="22"/>
        </w:rPr>
      </w:pPr>
      <w:r w:rsidRPr="00C7010E">
        <w:rPr>
          <w:rFonts w:cs="Arial"/>
          <w:sz w:val="22"/>
          <w:szCs w:val="22"/>
        </w:rPr>
        <w:lastRenderedPageBreak/>
        <w:t xml:space="preserve">w młodym pokoleniu, podobnie jak wśród dorosłych, wino i wódka zdają się pełnić inne funkcje. Picie wina ma wyraźnie bardziej symboliczny charakter, stąd wystarczają mniejsze ilości. Wódka zaś służy głównie jako </w:t>
      </w:r>
      <w:proofErr w:type="spellStart"/>
      <w:r w:rsidRPr="00C7010E">
        <w:rPr>
          <w:rFonts w:cs="Arial"/>
          <w:sz w:val="22"/>
          <w:szCs w:val="22"/>
        </w:rPr>
        <w:t>intoksykant</w:t>
      </w:r>
      <w:proofErr w:type="spellEnd"/>
      <w:r w:rsidRPr="00C7010E">
        <w:rPr>
          <w:rFonts w:cs="Arial"/>
          <w:sz w:val="22"/>
          <w:szCs w:val="22"/>
        </w:rPr>
        <w:t>, stąd pije się jej więcej;</w:t>
      </w:r>
    </w:p>
    <w:p w14:paraId="3311F9B3" w14:textId="77777777" w:rsidR="00C7010E" w:rsidRDefault="00955250" w:rsidP="00C7010E">
      <w:pPr>
        <w:pStyle w:val="Akapitzlist"/>
        <w:numPr>
          <w:ilvl w:val="0"/>
          <w:numId w:val="5"/>
        </w:numPr>
        <w:spacing w:after="0" w:line="360" w:lineRule="auto"/>
        <w:ind w:left="284" w:hanging="284"/>
        <w:jc w:val="both"/>
        <w:rPr>
          <w:rFonts w:cs="Arial"/>
          <w:sz w:val="22"/>
          <w:szCs w:val="22"/>
        </w:rPr>
      </w:pPr>
      <w:r w:rsidRPr="00C7010E">
        <w:rPr>
          <w:rFonts w:cs="Arial"/>
          <w:sz w:val="22"/>
          <w:szCs w:val="22"/>
        </w:rPr>
        <w:t>dziewczęta częściej niż chłopcy sięgają po alkohol w połączeniu z lekami (zachowanie takie przejawia ponad 12,2% uczennic klas młodszych oraz 12,9% dziewcząt z klas starszych). Chłopcy częściej łączą alkohol z marihuaną lub haszyszem (10% chłopców z klas młodszych i 23,9 % chłopców ze starszej grupy);</w:t>
      </w:r>
    </w:p>
    <w:p w14:paraId="670F195C" w14:textId="4EC33D42" w:rsidR="00955250" w:rsidRPr="00C7010E" w:rsidRDefault="00955250" w:rsidP="00C7010E">
      <w:pPr>
        <w:pStyle w:val="Akapitzlist"/>
        <w:numPr>
          <w:ilvl w:val="0"/>
          <w:numId w:val="5"/>
        </w:numPr>
        <w:spacing w:after="0" w:line="360" w:lineRule="auto"/>
        <w:ind w:left="284" w:hanging="284"/>
        <w:jc w:val="both"/>
        <w:rPr>
          <w:rFonts w:cs="Arial"/>
          <w:sz w:val="22"/>
          <w:szCs w:val="22"/>
        </w:rPr>
      </w:pPr>
      <w:r w:rsidRPr="00C7010E">
        <w:rPr>
          <w:rFonts w:cs="Arial"/>
          <w:sz w:val="22"/>
          <w:szCs w:val="22"/>
        </w:rPr>
        <w:t>wśród poddanych ocenie respondentów następstw picia znalazły się następstwa negatywne i pozytywne:</w:t>
      </w:r>
    </w:p>
    <w:p w14:paraId="494CC4EC" w14:textId="5B910AF4" w:rsidR="00955250" w:rsidRPr="00FE5C64" w:rsidRDefault="00012BA4" w:rsidP="00955250">
      <w:pPr>
        <w:pStyle w:val="Akapitzlist"/>
        <w:numPr>
          <w:ilvl w:val="0"/>
          <w:numId w:val="7"/>
        </w:numPr>
        <w:tabs>
          <w:tab w:val="left" w:pos="993"/>
        </w:tabs>
        <w:spacing w:after="0" w:line="360" w:lineRule="auto"/>
        <w:ind w:left="851" w:hanging="284"/>
        <w:jc w:val="both"/>
        <w:rPr>
          <w:rFonts w:cs="Arial"/>
          <w:sz w:val="22"/>
          <w:szCs w:val="22"/>
        </w:rPr>
      </w:pPr>
      <w:r>
        <w:rPr>
          <w:rFonts w:cs="Arial"/>
          <w:sz w:val="22"/>
          <w:szCs w:val="22"/>
        </w:rPr>
        <w:t>w</w:t>
      </w:r>
      <w:r w:rsidR="00955250" w:rsidRPr="00FE5C64">
        <w:rPr>
          <w:rFonts w:cs="Arial"/>
          <w:sz w:val="22"/>
          <w:szCs w:val="22"/>
        </w:rPr>
        <w:t xml:space="preserve"> klasach młodszych w zakresie następstw negatywnych na pierwszym miejscu znalazło się złe samopoczucie (14,6%), na drugim – obawa, że zrobi się coś, czego będzie się potem żałowało (14,4), na trzecim - szkody zdrowotne (13,3%) oraz kac (13,3%). Najrzadziej wymieniane konsekwencje negatywne przez 15-16 latków to obawa o kłopoty z policją (9,4%) i strach, że nie będzie się w stanie przestać pić (7,3%).  Wśród konsekwencji pozytywnych najwięcej uczniów z młodszej grupy wymienia: świetną zabawę (15,8%),  poczucie odprężenia (15,3%), a w dalszej kolejności towarzyskość (13,1%) i zapomnienie o problemach (12,3%).  Najrzadziej wymieniane jest poczucie szczęścia (11,2%). Jak wynika z powyższego, młodsza młodzież zdaje się oczekiwać po alkoholu więcej dobrego niż złego.</w:t>
      </w:r>
    </w:p>
    <w:p w14:paraId="212B7E28" w14:textId="419016AA" w:rsidR="00955250" w:rsidRPr="00FE5C64" w:rsidRDefault="00012BA4" w:rsidP="00955250">
      <w:pPr>
        <w:pStyle w:val="Tekstpodstawowy"/>
        <w:numPr>
          <w:ilvl w:val="0"/>
          <w:numId w:val="7"/>
        </w:numPr>
        <w:tabs>
          <w:tab w:val="left" w:pos="993"/>
        </w:tabs>
        <w:spacing w:after="0" w:line="360" w:lineRule="auto"/>
        <w:ind w:left="851" w:hanging="284"/>
        <w:jc w:val="both"/>
        <w:rPr>
          <w:rFonts w:ascii="Arial" w:hAnsi="Arial" w:cs="Arial"/>
          <w:sz w:val="22"/>
          <w:szCs w:val="22"/>
        </w:rPr>
      </w:pPr>
      <w:r>
        <w:rPr>
          <w:rFonts w:ascii="Arial" w:hAnsi="Arial" w:cs="Arial"/>
          <w:sz w:val="22"/>
          <w:szCs w:val="22"/>
        </w:rPr>
        <w:t>w</w:t>
      </w:r>
      <w:r w:rsidR="00955250" w:rsidRPr="00FE5C64">
        <w:rPr>
          <w:rFonts w:ascii="Arial" w:hAnsi="Arial" w:cs="Arial"/>
          <w:sz w:val="22"/>
          <w:szCs w:val="22"/>
        </w:rPr>
        <w:t xml:space="preserve"> zakresie konsekwencji pozytywnych oczekiwania 17-18 latków nie różnią się zasadniczo od antycypacji ich młodszych kolegów. Na dwóch pierwszych miejscach znalazły się: poczucie odprężenia (22,9%) i świetna zabawa (21,3%), trzecią pozycję zajmuje towarzyskość (19,8%). Uczniowie starsi w wyższych odsetkach niż ich młodsi koledzy potwierdzali prawdopodobieństwo pojawienia się poszczególnych następstw pozytywnych. W klasach starszych ranking następstw negatywnych wygląda nieco inaczej niż w młodszej kohorcie. Młodzież najczęściej obawia się złego samopoczucia, mdłości (12,7%), przejawia strach o zdrowie (12,1%), na trzecim miejscu znalazła się obawa, że zrobi się coś, czego się będzie potem żałowało (11,9%), a na czwartym strach przed kacem (11,6%). Jak widać, starsza młodzież w porównaniu z młodszą, mniej obawia się, że alkohol zaszkodzi jej zdrowiu;</w:t>
      </w:r>
    </w:p>
    <w:p w14:paraId="1C939801" w14:textId="77777777" w:rsidR="00955250" w:rsidRPr="00FE5C64" w:rsidRDefault="00955250" w:rsidP="00C7010E">
      <w:pPr>
        <w:pStyle w:val="Akapitzlist"/>
        <w:numPr>
          <w:ilvl w:val="0"/>
          <w:numId w:val="5"/>
        </w:numPr>
        <w:spacing w:after="0" w:line="360" w:lineRule="auto"/>
        <w:ind w:left="284"/>
        <w:jc w:val="both"/>
        <w:rPr>
          <w:rFonts w:cs="Arial"/>
          <w:sz w:val="22"/>
          <w:szCs w:val="22"/>
        </w:rPr>
      </w:pPr>
      <w:r w:rsidRPr="00FE5C64">
        <w:rPr>
          <w:rFonts w:cs="Arial"/>
          <w:sz w:val="22"/>
          <w:szCs w:val="22"/>
        </w:rPr>
        <w:t>dokonując oceny ryzyka związanego z różnymi stylami spożywania napojów alkoholowych, za najbardziej niebezpieczny styl, młodzież uznała częste picie alkoholu w dużych ilościach (</w:t>
      </w:r>
      <w:bookmarkStart w:id="24" w:name="_Hlk40965998"/>
      <w:r w:rsidRPr="00FE5C64">
        <w:rPr>
          <w:rFonts w:cs="Arial"/>
          <w:sz w:val="22"/>
          <w:szCs w:val="22"/>
        </w:rPr>
        <w:t>ponad 64,7% uczniów młodszych i 73,3% uczniów starszych).</w:t>
      </w:r>
      <w:bookmarkEnd w:id="24"/>
      <w:r w:rsidRPr="00FE5C64">
        <w:rPr>
          <w:rFonts w:cs="Arial"/>
          <w:sz w:val="22"/>
          <w:szCs w:val="22"/>
        </w:rPr>
        <w:t xml:space="preserve"> Na kolejnym miejscu znalazło się rzadsze picie w dużych ilościach, a na trzecim (ok. 34,6% uczniów młodszych i 43,9% uczniów starszych) częstsze picie, ale w mniejszych ilościach;</w:t>
      </w:r>
    </w:p>
    <w:p w14:paraId="653B1F2D" w14:textId="5BC556D5" w:rsidR="00955250" w:rsidRPr="00FE5C64" w:rsidRDefault="00955250" w:rsidP="00C7010E">
      <w:pPr>
        <w:pStyle w:val="Akapitzlist"/>
        <w:numPr>
          <w:ilvl w:val="0"/>
          <w:numId w:val="5"/>
        </w:numPr>
        <w:spacing w:after="0" w:line="360" w:lineRule="auto"/>
        <w:ind w:left="284"/>
        <w:jc w:val="both"/>
        <w:rPr>
          <w:rFonts w:cs="Arial"/>
          <w:sz w:val="22"/>
          <w:szCs w:val="22"/>
        </w:rPr>
      </w:pPr>
      <w:r w:rsidRPr="00FE5C64">
        <w:rPr>
          <w:rFonts w:cs="Arial"/>
          <w:sz w:val="22"/>
          <w:szCs w:val="22"/>
        </w:rPr>
        <w:lastRenderedPageBreak/>
        <w:t>poziom dostępności napojów alkoholowych wg młodzieży jest wysoki. Uczniowie klas młodszych uznali za bardzo łatwe do zdobycia: piwo – 38,1% uczniów, wino – 29% uczniów i wódkę – 30,9% uczniów. Starsza młodzież w większości wskazała na bardzo łatwą dostępność piwa (59,8% uczniów), a następnie wina (52,3% uczniów) i wódki (53,9% osób). Większość badanych nie ma dużych trudności z dostępem do napojów alkoholowych, mimo że według polskiego prawa sprzedaż i podawanie używek nieletnim jest zabroniona. Badani uczniowie uznali alkohol za łatwy do zdobycia, szczególnie jeśli chodzi o uczniów ze starszej kohorty. Wynika to z faktu, że są to głównie osoby pełnoletnie lub prawie pełnoletnie</w:t>
      </w:r>
      <w:bookmarkStart w:id="25" w:name="_Hlk40961869"/>
      <w:r w:rsidRPr="00FE5C64">
        <w:rPr>
          <w:rFonts w:cs="Arial"/>
          <w:sz w:val="22"/>
          <w:szCs w:val="22"/>
        </w:rPr>
        <w:t>;</w:t>
      </w:r>
    </w:p>
    <w:p w14:paraId="2827DFC2" w14:textId="45DB27AC" w:rsidR="00955250" w:rsidRPr="00FE5C64" w:rsidRDefault="00955250" w:rsidP="00C7010E">
      <w:pPr>
        <w:pStyle w:val="Akapitzlist"/>
        <w:numPr>
          <w:ilvl w:val="0"/>
          <w:numId w:val="5"/>
        </w:numPr>
        <w:tabs>
          <w:tab w:val="left" w:pos="284"/>
        </w:tabs>
        <w:spacing w:after="0" w:line="360" w:lineRule="auto"/>
        <w:ind w:left="284" w:hanging="284"/>
        <w:jc w:val="both"/>
        <w:rPr>
          <w:rFonts w:cs="Arial"/>
          <w:sz w:val="22"/>
          <w:szCs w:val="22"/>
        </w:rPr>
      </w:pPr>
      <w:r w:rsidRPr="00FE5C64">
        <w:rPr>
          <w:rFonts w:cs="Arial"/>
          <w:sz w:val="22"/>
          <w:szCs w:val="22"/>
        </w:rPr>
        <w:t>należy podkreślić profilaktyczną rolę rodziny. Przyzwolenie ze strony rodziców lub brak zainteresowania stosunkiem dzieci do alkoholu może sprzyjać jego spożywaniu przez młodych ludzi, a odpowiednio realizowana strategia wychowawcza może zapobiec podejmowaniu i ponawianiu tychże doświadczeń. Jak wynika z badania nieco częściej na picie alkoholu  nie zgadzają się matki. Zdecydowanie częściej rodzice nie pozwalają na picie alkoholu młodszej młodzieży. Co piąty uczeń z tej grupy uzyskał zgodę rodziców na picie, ale tylko w ich obecności, co dwudziesty mógł spożywać alkohol bez obecności rodziców. W</w:t>
      </w:r>
      <w:r>
        <w:rPr>
          <w:rFonts w:cs="Arial"/>
          <w:sz w:val="22"/>
          <w:szCs w:val="22"/>
        </w:rPr>
        <w:t> </w:t>
      </w:r>
      <w:r w:rsidRPr="00FE5C64">
        <w:rPr>
          <w:rFonts w:cs="Arial"/>
          <w:sz w:val="22"/>
          <w:szCs w:val="22"/>
        </w:rPr>
        <w:t>starszej kohorcie brak zgody rodziców na picie było dwukrotnie niższe niż wśród młodszej grupy. Około 20% badanych ze starszej młodzieży może pić tylko w obecności rodziców. Z</w:t>
      </w:r>
      <w:r>
        <w:rPr>
          <w:rFonts w:cs="Arial"/>
          <w:sz w:val="22"/>
          <w:szCs w:val="22"/>
        </w:rPr>
        <w:t> </w:t>
      </w:r>
      <w:r w:rsidRPr="00FE5C64">
        <w:rPr>
          <w:rFonts w:cs="Arial"/>
          <w:sz w:val="22"/>
          <w:szCs w:val="22"/>
        </w:rPr>
        <w:t>kolei co piaty z uczniów ma pozwolenie rodziców na picie bez ich obecności. Jest to pięć razy więcej w porównaniu do badania młodszej młodzieży. Jak wynika z badania, nie wszyscy rodzice sygnalizują dzieciom, jakie zasady panują w domu i poza nim. Zarówno w</w:t>
      </w:r>
      <w:r>
        <w:rPr>
          <w:rFonts w:cs="Arial"/>
          <w:sz w:val="22"/>
          <w:szCs w:val="22"/>
        </w:rPr>
        <w:t> </w:t>
      </w:r>
      <w:r w:rsidRPr="00FE5C64">
        <w:rPr>
          <w:rFonts w:cs="Arial"/>
          <w:sz w:val="22"/>
          <w:szCs w:val="22"/>
        </w:rPr>
        <w:t>młodszej, jak i starszej grupie badani zadeklarowali, że połowa rodziców rzadko lub prawie nigdy nie określa zasad domowych i nieco ponad połowa nie określa zasad dotyczących zachowania poza domem. Około połowa rodziców wie, gdzie i z kim ich dzieci spędzają czas, jeśli chodzi o młodszą młodzież. W przypadku starszej młodzieży nieco mniejsze odsetki rodziców mają taką wiedzę. W przypadku młodzieży z obu grup wiekowych, rodzice rzadziej dają przyzwolenie na picie alkoholu w województwie lubelskim</w:t>
      </w:r>
      <w:r w:rsidR="00012BA4">
        <w:rPr>
          <w:rFonts w:cs="Arial"/>
          <w:sz w:val="22"/>
          <w:szCs w:val="22"/>
        </w:rPr>
        <w:t>,</w:t>
      </w:r>
      <w:r w:rsidRPr="00FE5C64">
        <w:rPr>
          <w:rFonts w:cs="Arial"/>
          <w:sz w:val="22"/>
          <w:szCs w:val="22"/>
        </w:rPr>
        <w:t xml:space="preserve"> aniżeli w innych województwach</w:t>
      </w:r>
      <w:r w:rsidRPr="00FE5C64">
        <w:rPr>
          <w:rStyle w:val="Odwoanieprzypisudolnego"/>
          <w:rFonts w:cs="Arial"/>
          <w:sz w:val="22"/>
          <w:szCs w:val="22"/>
        </w:rPr>
        <w:footnoteReference w:id="2"/>
      </w:r>
      <w:r w:rsidRPr="00FE5C64">
        <w:rPr>
          <w:rFonts w:cs="Arial"/>
          <w:sz w:val="22"/>
          <w:szCs w:val="22"/>
        </w:rPr>
        <w:t>.</w:t>
      </w:r>
    </w:p>
    <w:bookmarkEnd w:id="25"/>
    <w:p w14:paraId="1CBFEA39" w14:textId="0AF96202" w:rsidR="00955250" w:rsidRPr="00FE5C64" w:rsidRDefault="00955250" w:rsidP="00955250">
      <w:pPr>
        <w:tabs>
          <w:tab w:val="left" w:pos="426"/>
        </w:tabs>
        <w:spacing w:after="0" w:line="360" w:lineRule="auto"/>
        <w:ind w:firstLine="567"/>
        <w:jc w:val="both"/>
        <w:rPr>
          <w:rFonts w:cs="Arial"/>
          <w:sz w:val="22"/>
          <w:szCs w:val="22"/>
        </w:rPr>
      </w:pPr>
      <w:r w:rsidRPr="00FE5C64">
        <w:rPr>
          <w:rFonts w:cs="Arial"/>
          <w:sz w:val="22"/>
          <w:szCs w:val="22"/>
        </w:rPr>
        <w:t xml:space="preserve">Wyniki badania wskazują, że spożywanie alkoholu przez młodzież stało się normą pod względem statystycznym. Pomiędzy 2015 a 2024 rokiem zmniejszyły się odsetki konsumentów alkoholu bez względu na okres używania w młodszej oraz starszej kohorcie. Spadek odnotowany w badaniach w 2024 roku jest najwyższy w historii pomiarów. W obydwu grupach wiekowych spadła konsumpcja piwa, wina i wódki. Odsetki osób, które wypiły 5 lub więcej drinków z rzędu w czasie ostatnich 30 dni spadły w porównaniu do 2019 roku. Odsetek </w:t>
      </w:r>
      <w:r w:rsidRPr="00FE5C64">
        <w:rPr>
          <w:rFonts w:cs="Arial"/>
          <w:sz w:val="22"/>
          <w:szCs w:val="22"/>
        </w:rPr>
        <w:lastRenderedPageBreak/>
        <w:t>respondentów z młodszej kohorty, którzy nie upili się w czasie  ostatnich 30 dni przed badaniem wzrósł o 6 procent, a w starszej kohorcie o prawie 20 punktów procentowych.</w:t>
      </w:r>
      <w:r w:rsidRPr="00FE5C64">
        <w:rPr>
          <w:rStyle w:val="Odwoanieprzypisudolnego"/>
          <w:rFonts w:cs="Arial"/>
          <w:sz w:val="22"/>
          <w:szCs w:val="22"/>
        </w:rPr>
        <w:footnoteReference w:id="3"/>
      </w:r>
      <w:r w:rsidRPr="00FE5C64">
        <w:rPr>
          <w:rFonts w:cs="Arial"/>
          <w:sz w:val="22"/>
          <w:szCs w:val="22"/>
        </w:rPr>
        <w:t xml:space="preserve"> </w:t>
      </w:r>
    </w:p>
    <w:p w14:paraId="098950E5" w14:textId="3083A845" w:rsidR="00955250" w:rsidRPr="00FE5C64" w:rsidRDefault="00955250" w:rsidP="00955250">
      <w:pPr>
        <w:tabs>
          <w:tab w:val="left" w:pos="426"/>
        </w:tabs>
        <w:spacing w:after="0" w:line="360" w:lineRule="auto"/>
        <w:jc w:val="both"/>
        <w:rPr>
          <w:rFonts w:cs="Arial"/>
          <w:sz w:val="22"/>
          <w:szCs w:val="22"/>
        </w:rPr>
      </w:pPr>
      <w:r w:rsidRPr="00FE5C64">
        <w:rPr>
          <w:rFonts w:cs="Arial"/>
          <w:sz w:val="22"/>
          <w:szCs w:val="22"/>
        </w:rPr>
        <w:tab/>
        <w:t>W województwie lubelskim picie napojów alkoholowych kiedykolwiek w życiu zadeklarowało 67,5% uczniów młodszych oraz 86% uczniów starszych. W skali kraju jest to odpowiednio 72,9% (młodsza kohorta) oraz 91,3% (starsza kohorta). Na tle innych województw, w województwie lubelskim picie napojów alkoholowych kiedykolwiek w życiu zadeklarowało 79,5% uczniów młodszych, czyli podobnie jak w woj. dolnośląskim i mazowieckim. Jest to więcej niż w woj</w:t>
      </w:r>
      <w:r w:rsidR="00E426DA">
        <w:rPr>
          <w:rFonts w:cs="Arial"/>
          <w:sz w:val="22"/>
          <w:szCs w:val="22"/>
        </w:rPr>
        <w:t>ewództwie</w:t>
      </w:r>
      <w:r w:rsidRPr="00FE5C64">
        <w:rPr>
          <w:rFonts w:cs="Arial"/>
          <w:sz w:val="22"/>
          <w:szCs w:val="22"/>
        </w:rPr>
        <w:t xml:space="preserve"> małopolskim, gdzie odnotowany odsetek młodszych uczniów był najmniejszy (mniejszy o 6 pkt procentowych niż w województwie lubelskim). W przypadku uczniów starszych różnica ta wynosi 2,6 punktu procentowego w</w:t>
      </w:r>
      <w:r>
        <w:rPr>
          <w:rFonts w:cs="Arial"/>
          <w:sz w:val="22"/>
          <w:szCs w:val="22"/>
        </w:rPr>
        <w:t xml:space="preserve"> </w:t>
      </w:r>
      <w:r w:rsidRPr="00FE5C64">
        <w:rPr>
          <w:rFonts w:cs="Arial"/>
          <w:sz w:val="22"/>
          <w:szCs w:val="22"/>
        </w:rPr>
        <w:t>porównaniu do woj</w:t>
      </w:r>
      <w:r w:rsidR="00E426DA">
        <w:rPr>
          <w:rFonts w:cs="Arial"/>
          <w:sz w:val="22"/>
          <w:szCs w:val="22"/>
        </w:rPr>
        <w:t>ewództwa</w:t>
      </w:r>
      <w:r w:rsidRPr="00FE5C64">
        <w:rPr>
          <w:rFonts w:cs="Arial"/>
          <w:sz w:val="22"/>
          <w:szCs w:val="22"/>
        </w:rPr>
        <w:t xml:space="preserve"> dolnośląskiego, w którym zanotowano najniższy odsetek dla starszej populacji</w:t>
      </w:r>
      <w:r w:rsidRPr="00FE5C64">
        <w:rPr>
          <w:rStyle w:val="Odwoanieprzypisudolnego"/>
          <w:rFonts w:cs="Arial"/>
          <w:sz w:val="22"/>
          <w:szCs w:val="22"/>
        </w:rPr>
        <w:footnoteReference w:id="4"/>
      </w:r>
      <w:r w:rsidRPr="00FE5C64">
        <w:rPr>
          <w:rFonts w:cs="Arial"/>
          <w:sz w:val="22"/>
          <w:szCs w:val="22"/>
        </w:rPr>
        <w:t>.</w:t>
      </w:r>
    </w:p>
    <w:p w14:paraId="73F11FE7" w14:textId="118B49A8" w:rsidR="00955250" w:rsidRPr="00FE5C64" w:rsidRDefault="00955250" w:rsidP="00955250">
      <w:pPr>
        <w:tabs>
          <w:tab w:val="left" w:pos="426"/>
        </w:tabs>
        <w:spacing w:after="0" w:line="360" w:lineRule="auto"/>
        <w:ind w:firstLine="360"/>
        <w:jc w:val="both"/>
        <w:rPr>
          <w:rFonts w:cs="Arial"/>
          <w:sz w:val="22"/>
          <w:szCs w:val="22"/>
        </w:rPr>
      </w:pPr>
      <w:r w:rsidRPr="00FE5C64">
        <w:rPr>
          <w:rFonts w:cs="Arial"/>
          <w:sz w:val="22"/>
          <w:szCs w:val="22"/>
        </w:rPr>
        <w:tab/>
        <w:t>Jeśli chodzi o spożycie poszczególnych napojów alkoholowych w czasie ostatnich 30 dni przed badaniem, w obydwu grupach wiekowych we wszystkich województwach najpopularniejszym napojem było piwo. Na drugim miejscu uplasowała się wódka. Biorąc pod uwagę konsumpcję wódki przez uczniów młodszych, woj</w:t>
      </w:r>
      <w:r w:rsidR="003D7A5B">
        <w:rPr>
          <w:rFonts w:cs="Arial"/>
          <w:sz w:val="22"/>
          <w:szCs w:val="22"/>
        </w:rPr>
        <w:t>ewództwo</w:t>
      </w:r>
      <w:r w:rsidRPr="00FE5C64">
        <w:rPr>
          <w:rFonts w:cs="Arial"/>
          <w:sz w:val="22"/>
          <w:szCs w:val="22"/>
        </w:rPr>
        <w:t xml:space="preserve"> lubelskie jest wśród województw o</w:t>
      </w:r>
      <w:r>
        <w:rPr>
          <w:rFonts w:cs="Arial"/>
          <w:sz w:val="22"/>
          <w:szCs w:val="22"/>
        </w:rPr>
        <w:t> </w:t>
      </w:r>
      <w:r w:rsidRPr="00FE5C64">
        <w:rPr>
          <w:rFonts w:cs="Arial"/>
          <w:sz w:val="22"/>
          <w:szCs w:val="22"/>
        </w:rPr>
        <w:t>największym rozpowszechnieniu, a uczniowie starsi reprezentują największą konsumpcję tego trunku, jak również wina. Niepokój może budzić dość wysoki, na tle innych województw, odsetek starszej młodzieży, która upiła się w okresie</w:t>
      </w:r>
      <w:r>
        <w:rPr>
          <w:rFonts w:cs="Arial"/>
          <w:sz w:val="22"/>
          <w:szCs w:val="22"/>
        </w:rPr>
        <w:t xml:space="preserve"> </w:t>
      </w:r>
      <w:r w:rsidRPr="00FE5C64">
        <w:rPr>
          <w:rFonts w:cs="Arial"/>
          <w:sz w:val="22"/>
          <w:szCs w:val="22"/>
        </w:rPr>
        <w:t>30 dni poprzedzających badanie (21,7%)</w:t>
      </w:r>
      <w:r w:rsidRPr="00FE5C64">
        <w:rPr>
          <w:rStyle w:val="Odwoanieprzypisudolnego"/>
          <w:rFonts w:cs="Arial"/>
          <w:sz w:val="22"/>
          <w:szCs w:val="22"/>
        </w:rPr>
        <w:footnoteReference w:id="5"/>
      </w:r>
      <w:r w:rsidRPr="00FE5C64">
        <w:rPr>
          <w:rFonts w:cs="Arial"/>
          <w:sz w:val="22"/>
          <w:szCs w:val="22"/>
        </w:rPr>
        <w:t>.</w:t>
      </w:r>
    </w:p>
    <w:p w14:paraId="0461E266" w14:textId="77777777" w:rsidR="00955250" w:rsidRPr="00317DE2" w:rsidRDefault="00955250" w:rsidP="00955250">
      <w:pPr>
        <w:tabs>
          <w:tab w:val="left" w:pos="426"/>
        </w:tabs>
        <w:spacing w:after="0" w:line="360" w:lineRule="auto"/>
        <w:ind w:firstLine="360"/>
        <w:jc w:val="both"/>
        <w:rPr>
          <w:rFonts w:cs="Arial"/>
          <w:sz w:val="22"/>
          <w:szCs w:val="22"/>
        </w:rPr>
      </w:pPr>
      <w:r w:rsidRPr="00FE5C64">
        <w:rPr>
          <w:rFonts w:cs="Arial"/>
          <w:sz w:val="22"/>
          <w:szCs w:val="22"/>
        </w:rPr>
        <w:tab/>
        <w:t>Wiedza o skali tego zjawiska na poziomie regionalnym sprawia, że niezbędne jest</w:t>
      </w:r>
      <w:r w:rsidRPr="00317DE2">
        <w:rPr>
          <w:rFonts w:cs="Arial"/>
          <w:sz w:val="22"/>
          <w:szCs w:val="22"/>
        </w:rPr>
        <w:t xml:space="preserve"> podejmowanie działań profilaktyczno-edukacyjnych. W planowanych działaniach należy zwrócić uwagę na podtrzymywanie korzystnych trendów. Oddziaływania kierowane do młodzieży powinny unikać moralizowania, przedstawiać rzetelną wiedzę, a także odpowiadać potrzebom młodych ludzi i być dopasowane do ich doświadczeń. W przypadku grup ryzyka, np. młodzieży sięgającej po substancje psychoaktywne, w tym alkohol, wymierne rezultaty przynosi strategia kształtowania umiejętności życiowych, uzupełniona działaniami polegającymi na modelowaniu i angażowania młodych osób w konstruktywną aktywność.</w:t>
      </w:r>
      <w:r>
        <w:rPr>
          <w:rFonts w:cs="Arial"/>
          <w:sz w:val="22"/>
          <w:szCs w:val="22"/>
        </w:rPr>
        <w:t xml:space="preserve"> </w:t>
      </w:r>
      <w:r w:rsidRPr="00317DE2">
        <w:rPr>
          <w:rFonts w:cs="Arial"/>
          <w:sz w:val="22"/>
          <w:szCs w:val="22"/>
        </w:rPr>
        <w:t>Z kolei działania w zakresie profilaktyki wskazującej, mimo iż są bardziej wymagające, stanowią niezwykle ważne zadanie, które powinno być realizowane na poziomie lokalnym. Uzupełnieniem lokalnych działań są programy ogólnopolskie, np. „Pomarańczowa Linia” – telefon pomagający rodzicom dzieci, które piją/upijają się. Jednym z czynników chroniących oraz wspierających właściwy rozwój dzieci i</w:t>
      </w:r>
      <w:r>
        <w:rPr>
          <w:rFonts w:cs="Arial"/>
          <w:sz w:val="22"/>
          <w:szCs w:val="22"/>
        </w:rPr>
        <w:t> </w:t>
      </w:r>
      <w:r w:rsidRPr="00317DE2">
        <w:rPr>
          <w:rFonts w:cs="Arial"/>
          <w:sz w:val="22"/>
          <w:szCs w:val="22"/>
        </w:rPr>
        <w:t>młodzieży jest utrzymywanie pozytywnych relacji z innymi niż rodzice kompetentnymi osobami dorosłymi (np. dziadkami, nauczycielami, mentorami)</w:t>
      </w:r>
      <w:r w:rsidRPr="00317DE2">
        <w:rPr>
          <w:rStyle w:val="Odwoanieprzypisudolnego"/>
          <w:rFonts w:cs="Arial"/>
          <w:sz w:val="22"/>
          <w:szCs w:val="22"/>
        </w:rPr>
        <w:footnoteReference w:id="6"/>
      </w:r>
      <w:r w:rsidRPr="00317DE2">
        <w:rPr>
          <w:rFonts w:cs="Arial"/>
          <w:sz w:val="22"/>
          <w:szCs w:val="22"/>
        </w:rPr>
        <w:t>.</w:t>
      </w:r>
    </w:p>
    <w:p w14:paraId="3A3711BC" w14:textId="77777777" w:rsidR="00955250" w:rsidRPr="00317DE2" w:rsidRDefault="00955250" w:rsidP="00955250">
      <w:pPr>
        <w:tabs>
          <w:tab w:val="left" w:pos="426"/>
        </w:tabs>
        <w:spacing w:after="0" w:line="360" w:lineRule="auto"/>
        <w:ind w:firstLine="360"/>
        <w:jc w:val="both"/>
        <w:rPr>
          <w:rFonts w:cs="Arial"/>
          <w:sz w:val="22"/>
          <w:szCs w:val="22"/>
        </w:rPr>
      </w:pPr>
      <w:r w:rsidRPr="00317DE2">
        <w:rPr>
          <w:rFonts w:cs="Arial"/>
          <w:sz w:val="22"/>
          <w:szCs w:val="22"/>
        </w:rPr>
        <w:lastRenderedPageBreak/>
        <w:t>W obszarze profilaktyki kluczowym wyzwaniem pozostaje wysoki poziom spożycia wszystkich rodzajów alkoholu, szczególnie piwa i wina, oraz towarzyszące mu bagatelizowanie ryzyka związanego z konsumpcją przez młodzież. Konieczne jest opracowanie i wdrożenie programów edukacyjnych, które w sposób przystępny, dobrze udokumentowany i oparty na dowodach naukowych przedstawią zagrożenia zdrowotne związane z nadmiernym spożywaniem alkoholu. Ważne jest, aby treści te były dostosowane do doświadczeń młodzieży, ich przekonań i postaw, a jednocześnie zachowały moc perswazyjną, unikały demonizowania alkoholu i bazowały na rzetelnych informacjach. Takie programy powinny być realizowane przy wsparciu rodziny, co zwiększa ich skuteczność i pomaga w budowaniu bardziej trwałych postaw.</w:t>
      </w:r>
    </w:p>
    <w:p w14:paraId="6DB0395A" w14:textId="2C1F9FD0" w:rsidR="00955250" w:rsidRPr="00FE5C64" w:rsidRDefault="00955250" w:rsidP="00955250">
      <w:pPr>
        <w:tabs>
          <w:tab w:val="left" w:pos="426"/>
        </w:tabs>
        <w:spacing w:after="0" w:line="360" w:lineRule="auto"/>
        <w:ind w:firstLine="360"/>
        <w:jc w:val="both"/>
        <w:rPr>
          <w:rFonts w:cs="Arial"/>
          <w:sz w:val="22"/>
          <w:szCs w:val="22"/>
        </w:rPr>
      </w:pPr>
      <w:r w:rsidRPr="00317DE2">
        <w:rPr>
          <w:rFonts w:cs="Arial"/>
          <w:sz w:val="22"/>
          <w:szCs w:val="22"/>
        </w:rPr>
        <w:t>Równocześnie należy podjąć działania ograniczające fizyczn</w:t>
      </w:r>
      <w:r w:rsidR="003D7A5B">
        <w:rPr>
          <w:rFonts w:cs="Arial"/>
          <w:sz w:val="22"/>
          <w:szCs w:val="22"/>
        </w:rPr>
        <w:t>ą</w:t>
      </w:r>
      <w:r w:rsidRPr="00317DE2">
        <w:rPr>
          <w:rFonts w:cs="Arial"/>
          <w:sz w:val="22"/>
          <w:szCs w:val="22"/>
        </w:rPr>
        <w:t xml:space="preserve"> i ekonomiczn</w:t>
      </w:r>
      <w:r w:rsidR="003D7A5B">
        <w:rPr>
          <w:rFonts w:cs="Arial"/>
          <w:sz w:val="22"/>
          <w:szCs w:val="22"/>
        </w:rPr>
        <w:t>ą</w:t>
      </w:r>
      <w:r w:rsidRPr="00317DE2">
        <w:rPr>
          <w:rFonts w:cs="Arial"/>
          <w:sz w:val="22"/>
          <w:szCs w:val="22"/>
        </w:rPr>
        <w:t xml:space="preserve"> dostępność alkoholu. Dodatkowym elementem skutecznej strategii profilaktycznej jest rozwinięcie oferty działań redukujących szkody skierowanych do młodych ludzi, którzy już angażują się w</w:t>
      </w:r>
      <w:r>
        <w:rPr>
          <w:rFonts w:cs="Arial"/>
          <w:sz w:val="22"/>
          <w:szCs w:val="22"/>
        </w:rPr>
        <w:t> </w:t>
      </w:r>
      <w:r w:rsidRPr="00317DE2">
        <w:rPr>
          <w:rFonts w:cs="Arial"/>
          <w:sz w:val="22"/>
          <w:szCs w:val="22"/>
        </w:rPr>
        <w:t>ryzykowne zachowania.</w:t>
      </w:r>
      <w:r w:rsidRPr="00317DE2">
        <w:rPr>
          <w:rFonts w:eastAsia="TimesNewRoman,Bold" w:cs="Arial"/>
          <w:strike/>
          <w:sz w:val="22"/>
          <w:szCs w:val="22"/>
          <w:lang w:eastAsia="en-US"/>
        </w:rPr>
        <w:t xml:space="preserve"> </w:t>
      </w:r>
    </w:p>
    <w:p w14:paraId="6F7BDB3C" w14:textId="274B6CAE" w:rsidR="001676E4" w:rsidRPr="00317DE2" w:rsidRDefault="001676E4" w:rsidP="00B11CBB">
      <w:pPr>
        <w:pStyle w:val="Nagwek2"/>
      </w:pPr>
      <w:bookmarkStart w:id="26" w:name="_Toc214277555"/>
      <w:r w:rsidRPr="00317DE2">
        <w:t>Gmina jako kluczowy podmiot rozwiązywania problemu alkoholow</w:t>
      </w:r>
      <w:bookmarkEnd w:id="22"/>
      <w:r w:rsidRPr="00317DE2">
        <w:t>ego</w:t>
      </w:r>
      <w:bookmarkEnd w:id="26"/>
    </w:p>
    <w:p w14:paraId="7D96855A" w14:textId="2000B540" w:rsidR="001676E4" w:rsidRPr="00317DE2" w:rsidRDefault="001676E4" w:rsidP="001676E4">
      <w:pPr>
        <w:tabs>
          <w:tab w:val="left" w:pos="426"/>
        </w:tabs>
        <w:spacing w:after="0" w:line="360" w:lineRule="auto"/>
        <w:jc w:val="both"/>
        <w:rPr>
          <w:rFonts w:eastAsiaTheme="minorHAnsi" w:cs="Arial"/>
          <w:b/>
          <w:bCs/>
          <w:color w:val="231F20"/>
          <w:sz w:val="22"/>
          <w:szCs w:val="22"/>
          <w:lang w:eastAsia="en-US"/>
        </w:rPr>
      </w:pPr>
      <w:r w:rsidRPr="00317DE2">
        <w:rPr>
          <w:rFonts w:cs="Arial"/>
          <w:color w:val="000000"/>
          <w:sz w:val="22"/>
          <w:szCs w:val="22"/>
        </w:rPr>
        <w:tab/>
      </w:r>
      <w:r w:rsidRPr="00317DE2">
        <w:rPr>
          <w:rFonts w:eastAsiaTheme="minorHAnsi" w:cs="Arial"/>
          <w:color w:val="231F20"/>
          <w:sz w:val="22"/>
          <w:szCs w:val="22"/>
          <w:lang w:eastAsia="en-US"/>
        </w:rPr>
        <w:t xml:space="preserve">Kluczową rolę w zakresie prowadzenia polityki wobec alkoholu odgrywa gmina, której zadania w tym zakresie reguluje Ustawa z dnia 26 października 1982 r. o wychowaniu </w:t>
      </w:r>
      <w:r w:rsidRPr="00317DE2">
        <w:rPr>
          <w:rFonts w:eastAsiaTheme="minorHAnsi" w:cs="Arial"/>
          <w:color w:val="231F20"/>
          <w:sz w:val="22"/>
          <w:szCs w:val="22"/>
          <w:lang w:eastAsia="en-US"/>
        </w:rPr>
        <w:br/>
        <w:t>w trzeźwości</w:t>
      </w:r>
      <w:r w:rsidR="003D7A5B">
        <w:rPr>
          <w:rFonts w:eastAsiaTheme="minorHAnsi" w:cs="Arial"/>
          <w:color w:val="231F20"/>
          <w:sz w:val="22"/>
          <w:szCs w:val="22"/>
          <w:lang w:eastAsia="en-US"/>
        </w:rPr>
        <w:t xml:space="preserve"> i</w:t>
      </w:r>
      <w:r w:rsidRPr="00317DE2">
        <w:rPr>
          <w:rFonts w:eastAsiaTheme="minorHAnsi" w:cs="Arial"/>
          <w:color w:val="231F20"/>
          <w:sz w:val="22"/>
          <w:szCs w:val="22"/>
          <w:lang w:eastAsia="en-US"/>
        </w:rPr>
        <w:t xml:space="preserve"> przeciwdziałaniu alkoholizmowi. Przepis ten nałożył na gminę obowiązek  realizacji szczególnych zadań związanych z profilaktyką i rozwiązywaniem problemów alkoholowych oraz integrację społeczną osób uzależnionych od alkoholu. Nadał też wysoką rangę działaniom gminnej komisji rozwiązywania problemów alkoholowych.</w:t>
      </w:r>
    </w:p>
    <w:p w14:paraId="1286D7F1" w14:textId="51FA963A" w:rsidR="001676E4" w:rsidRPr="00317DE2" w:rsidRDefault="001676E4" w:rsidP="001676E4">
      <w:pPr>
        <w:tabs>
          <w:tab w:val="left" w:pos="426"/>
        </w:tabs>
        <w:spacing w:after="0" w:line="360" w:lineRule="auto"/>
        <w:jc w:val="both"/>
        <w:rPr>
          <w:rFonts w:eastAsiaTheme="minorHAnsi" w:cs="Arial"/>
          <w:color w:val="231F20"/>
          <w:sz w:val="22"/>
          <w:szCs w:val="22"/>
          <w:lang w:eastAsia="en-US"/>
        </w:rPr>
      </w:pPr>
      <w:r w:rsidRPr="00317DE2">
        <w:rPr>
          <w:rFonts w:eastAsiaTheme="minorHAnsi" w:cs="Arial"/>
          <w:b/>
          <w:bCs/>
          <w:color w:val="231F20"/>
          <w:sz w:val="22"/>
          <w:szCs w:val="22"/>
          <w:lang w:eastAsia="en-US"/>
        </w:rPr>
        <w:tab/>
      </w:r>
      <w:r w:rsidRPr="00317DE2">
        <w:rPr>
          <w:rFonts w:eastAsiaTheme="minorHAnsi" w:cs="Arial"/>
          <w:color w:val="231F20"/>
          <w:sz w:val="22"/>
          <w:szCs w:val="22"/>
          <w:lang w:eastAsia="en-US"/>
        </w:rPr>
        <w:t xml:space="preserve">Istniejący system stworzył warunki </w:t>
      </w:r>
      <w:r w:rsidR="003D7A5B">
        <w:rPr>
          <w:rFonts w:eastAsiaTheme="minorHAnsi" w:cs="Arial"/>
          <w:color w:val="231F20"/>
          <w:sz w:val="22"/>
          <w:szCs w:val="22"/>
          <w:lang w:eastAsia="en-US"/>
        </w:rPr>
        <w:t>do</w:t>
      </w:r>
      <w:r w:rsidRPr="00317DE2">
        <w:rPr>
          <w:rFonts w:eastAsiaTheme="minorHAnsi" w:cs="Arial"/>
          <w:color w:val="231F20"/>
          <w:sz w:val="22"/>
          <w:szCs w:val="22"/>
          <w:lang w:eastAsia="en-US"/>
        </w:rPr>
        <w:t xml:space="preserve"> przemyślan</w:t>
      </w:r>
      <w:r w:rsidR="003D7A5B">
        <w:rPr>
          <w:rFonts w:eastAsiaTheme="minorHAnsi" w:cs="Arial"/>
          <w:color w:val="231F20"/>
          <w:sz w:val="22"/>
          <w:szCs w:val="22"/>
          <w:lang w:eastAsia="en-US"/>
        </w:rPr>
        <w:t>ej</w:t>
      </w:r>
      <w:r w:rsidRPr="00317DE2">
        <w:rPr>
          <w:rFonts w:eastAsiaTheme="minorHAnsi" w:cs="Arial"/>
          <w:color w:val="231F20"/>
          <w:sz w:val="22"/>
          <w:szCs w:val="22"/>
          <w:lang w:eastAsia="en-US"/>
        </w:rPr>
        <w:t xml:space="preserve"> walk</w:t>
      </w:r>
      <w:r w:rsidR="003D7A5B">
        <w:rPr>
          <w:rFonts w:eastAsiaTheme="minorHAnsi" w:cs="Arial"/>
          <w:color w:val="231F20"/>
          <w:sz w:val="22"/>
          <w:szCs w:val="22"/>
          <w:lang w:eastAsia="en-US"/>
        </w:rPr>
        <w:t>i</w:t>
      </w:r>
      <w:r w:rsidRPr="00317DE2">
        <w:rPr>
          <w:rFonts w:eastAsiaTheme="minorHAnsi" w:cs="Arial"/>
          <w:color w:val="231F20"/>
          <w:sz w:val="22"/>
          <w:szCs w:val="22"/>
          <w:lang w:eastAsia="en-US"/>
        </w:rPr>
        <w:t xml:space="preserve"> z alkoholizmem wobec osób uzależnionych i współuzależnionych, a także na zapobieganie temu zjawisku wśród młodszego pokolenia oraz dostosowanie oferty profilaktycznej i leczniczej do lokalnych potrzeb społecznych.</w:t>
      </w:r>
    </w:p>
    <w:p w14:paraId="5A16F0F8" w14:textId="77777777" w:rsidR="001676E4" w:rsidRPr="00317DE2" w:rsidRDefault="001676E4" w:rsidP="001676E4">
      <w:pPr>
        <w:spacing w:before="240" w:after="240" w:line="360" w:lineRule="auto"/>
        <w:jc w:val="both"/>
        <w:rPr>
          <w:rFonts w:cs="Arial"/>
          <w:b/>
          <w:color w:val="000000"/>
          <w:sz w:val="22"/>
          <w:szCs w:val="22"/>
        </w:rPr>
      </w:pPr>
      <w:r w:rsidRPr="00317DE2">
        <w:rPr>
          <w:rFonts w:cs="Arial"/>
          <w:b/>
          <w:color w:val="000000"/>
          <w:sz w:val="22"/>
          <w:szCs w:val="22"/>
        </w:rPr>
        <w:t xml:space="preserve">Gminna komisja rozwiązywania problemów alkoholowych </w:t>
      </w:r>
    </w:p>
    <w:p w14:paraId="3D2751AE" w14:textId="17BE9113" w:rsidR="001676E4" w:rsidRPr="00317DE2" w:rsidRDefault="001676E4" w:rsidP="001676E4">
      <w:pPr>
        <w:tabs>
          <w:tab w:val="left" w:pos="426"/>
        </w:tabs>
        <w:spacing w:line="360" w:lineRule="auto"/>
        <w:jc w:val="both"/>
        <w:rPr>
          <w:rFonts w:cs="Arial"/>
          <w:color w:val="000000"/>
          <w:sz w:val="22"/>
          <w:szCs w:val="22"/>
        </w:rPr>
      </w:pPr>
      <w:r w:rsidRPr="00317DE2">
        <w:rPr>
          <w:rFonts w:cs="Arial"/>
          <w:color w:val="000000"/>
          <w:sz w:val="22"/>
          <w:szCs w:val="22"/>
        </w:rPr>
        <w:tab/>
        <w:t>Zgodnie z art</w:t>
      </w:r>
      <w:r w:rsidRPr="00317DE2">
        <w:rPr>
          <w:rFonts w:cs="Arial"/>
          <w:sz w:val="22"/>
          <w:szCs w:val="22"/>
        </w:rPr>
        <w:t xml:space="preserve">. 4¹. </w:t>
      </w:r>
      <w:r w:rsidRPr="00317DE2">
        <w:rPr>
          <w:rFonts w:cs="Arial"/>
          <w:color w:val="000000"/>
          <w:sz w:val="22"/>
          <w:szCs w:val="22"/>
        </w:rPr>
        <w:t>ust. 3 ww. ustawy w każdej gminie powoływana jest gminna komisja rozwiązywania problemów alkoholowych (przez wójtów, burmistrzów lub prezydentów miast odpowiednio do zasięgu działania). Komisje inicjują działania w zakresie określonym</w:t>
      </w:r>
      <w:r w:rsidRPr="00317DE2">
        <w:rPr>
          <w:rFonts w:cs="Arial"/>
          <w:color w:val="000000"/>
          <w:sz w:val="22"/>
          <w:szCs w:val="22"/>
        </w:rPr>
        <w:br/>
      </w:r>
      <w:r w:rsidR="002C6CA5">
        <w:rPr>
          <w:rFonts w:cs="Arial"/>
          <w:color w:val="000000"/>
          <w:sz w:val="22"/>
          <w:szCs w:val="22"/>
        </w:rPr>
        <w:t xml:space="preserve">w </w:t>
      </w:r>
      <w:r w:rsidRPr="00317DE2">
        <w:rPr>
          <w:rFonts w:cs="Arial"/>
          <w:color w:val="000000"/>
          <w:sz w:val="22"/>
          <w:szCs w:val="22"/>
        </w:rPr>
        <w:t>zadaniach wynikających z ustawy oraz podejmują czynności zmierzające do orzeczenia</w:t>
      </w:r>
      <w:r w:rsidRPr="00317DE2">
        <w:rPr>
          <w:rFonts w:cs="Arial"/>
          <w:color w:val="000000"/>
          <w:sz w:val="22"/>
          <w:szCs w:val="22"/>
        </w:rPr>
        <w:br/>
        <w:t>o zastosowaniu wobec osoby uzależnionej od alkoholu obowiązku poddania się leczeniu</w:t>
      </w:r>
      <w:r w:rsidRPr="00317DE2">
        <w:rPr>
          <w:rFonts w:cs="Arial"/>
          <w:color w:val="000000"/>
          <w:sz w:val="22"/>
          <w:szCs w:val="22"/>
        </w:rPr>
        <w:br/>
        <w:t xml:space="preserve">w zakładzie lecznictwa odwykowego. </w:t>
      </w:r>
      <w:r w:rsidRPr="00317DE2">
        <w:rPr>
          <w:rFonts w:cs="Arial"/>
          <w:sz w:val="22"/>
          <w:szCs w:val="22"/>
        </w:rPr>
        <w:t xml:space="preserve">Zakres działania gminnych komisji rozwiązywania problemów alkoholowych jest bardzo szeroki. Ich czynności mają charakter zarówno interwencyjny, kontrolny, opiniodawczy, jak i wychowawczo-edukacyjny. Obraz rodzajów </w:t>
      </w:r>
      <w:r w:rsidRPr="00317DE2">
        <w:rPr>
          <w:rFonts w:cs="Arial"/>
          <w:sz w:val="22"/>
          <w:szCs w:val="22"/>
        </w:rPr>
        <w:lastRenderedPageBreak/>
        <w:t xml:space="preserve">interwencji podjętych przez gminne komisje rozwiązywania problemów alkoholowych </w:t>
      </w:r>
      <w:r w:rsidRPr="00317DE2">
        <w:rPr>
          <w:rFonts w:cs="Arial"/>
          <w:sz w:val="22"/>
          <w:szCs w:val="22"/>
        </w:rPr>
        <w:br/>
        <w:t>w stosunku do osób z problemem alkoholowym w województwie lubelskim przedstawia poniższa tabela.</w:t>
      </w:r>
    </w:p>
    <w:p w14:paraId="7308EB1B" w14:textId="655EA9B2" w:rsidR="00CA082D" w:rsidRPr="0054713D" w:rsidRDefault="00CA082D" w:rsidP="00CA082D">
      <w:pPr>
        <w:pStyle w:val="Legenda"/>
        <w:keepNext/>
        <w:rPr>
          <w:sz w:val="20"/>
          <w:szCs w:val="16"/>
        </w:rPr>
      </w:pPr>
      <w:bookmarkStart w:id="27" w:name="_Toc214279687"/>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Pr="0054713D">
        <w:rPr>
          <w:noProof/>
          <w:sz w:val="20"/>
          <w:szCs w:val="16"/>
        </w:rPr>
        <w:t>2</w:t>
      </w:r>
      <w:r w:rsidRPr="0054713D">
        <w:rPr>
          <w:sz w:val="20"/>
          <w:szCs w:val="16"/>
        </w:rPr>
        <w:fldChar w:fldCharType="end"/>
      </w:r>
      <w:r w:rsidRPr="0054713D">
        <w:rPr>
          <w:sz w:val="20"/>
          <w:szCs w:val="16"/>
        </w:rPr>
        <w:t>. Liczba interwencji gminnych komisji rozwiązywania problemów alkoholowych w województwie lubelskim w latach 2020-2023</w:t>
      </w:r>
      <w:bookmarkEnd w:id="27"/>
    </w:p>
    <w:tbl>
      <w:tblPr>
        <w:tblW w:w="9554" w:type="dxa"/>
        <w:tblInd w:w="-5" w:type="dxa"/>
        <w:tblCellMar>
          <w:left w:w="70" w:type="dxa"/>
          <w:right w:w="70" w:type="dxa"/>
        </w:tblCellMar>
        <w:tblLook w:val="00A0" w:firstRow="1" w:lastRow="0" w:firstColumn="1" w:lastColumn="0" w:noHBand="0" w:noVBand="0"/>
      </w:tblPr>
      <w:tblGrid>
        <w:gridCol w:w="851"/>
        <w:gridCol w:w="2410"/>
        <w:gridCol w:w="1888"/>
        <w:gridCol w:w="2551"/>
        <w:gridCol w:w="1854"/>
      </w:tblGrid>
      <w:tr w:rsidR="001676E4" w:rsidRPr="003D1277" w14:paraId="6DEFBFC1" w14:textId="77777777" w:rsidTr="003D66E5">
        <w:trPr>
          <w:trHeight w:val="1297"/>
          <w:tblHeader/>
        </w:trPr>
        <w:tc>
          <w:tcPr>
            <w:tcW w:w="851" w:type="dxa"/>
            <w:tcBorders>
              <w:top w:val="single" w:sz="4" w:space="0" w:color="auto"/>
              <w:left w:val="single" w:sz="4" w:space="0" w:color="auto"/>
              <w:bottom w:val="single" w:sz="4" w:space="0" w:color="auto"/>
              <w:right w:val="single" w:sz="4" w:space="0" w:color="auto"/>
            </w:tcBorders>
            <w:noWrap/>
            <w:vAlign w:val="center"/>
          </w:tcPr>
          <w:p w14:paraId="3876FD1F" w14:textId="77777777" w:rsidR="001676E4" w:rsidRPr="003D1277" w:rsidRDefault="001676E4" w:rsidP="003D66E5">
            <w:pPr>
              <w:spacing w:after="0"/>
              <w:jc w:val="center"/>
              <w:rPr>
                <w:rFonts w:cs="Arial"/>
                <w:b/>
                <w:sz w:val="22"/>
                <w:szCs w:val="22"/>
              </w:rPr>
            </w:pPr>
            <w:r w:rsidRPr="003D1277">
              <w:rPr>
                <w:rFonts w:cs="Arial"/>
                <w:b/>
                <w:sz w:val="22"/>
                <w:szCs w:val="22"/>
              </w:rPr>
              <w:t>Lata</w:t>
            </w:r>
          </w:p>
        </w:tc>
        <w:tc>
          <w:tcPr>
            <w:tcW w:w="2410" w:type="dxa"/>
            <w:tcBorders>
              <w:top w:val="single" w:sz="4" w:space="0" w:color="auto"/>
              <w:left w:val="nil"/>
              <w:bottom w:val="single" w:sz="4" w:space="0" w:color="auto"/>
              <w:right w:val="single" w:sz="4" w:space="0" w:color="auto"/>
            </w:tcBorders>
            <w:noWrap/>
          </w:tcPr>
          <w:p w14:paraId="47D957C4" w14:textId="77777777" w:rsidR="001676E4" w:rsidRPr="003D1277" w:rsidRDefault="001676E4" w:rsidP="003D66E5">
            <w:pPr>
              <w:spacing w:after="0"/>
              <w:jc w:val="center"/>
              <w:rPr>
                <w:rFonts w:cs="Arial"/>
                <w:b/>
                <w:sz w:val="22"/>
                <w:szCs w:val="22"/>
              </w:rPr>
            </w:pPr>
            <w:r w:rsidRPr="003D1277">
              <w:rPr>
                <w:rFonts w:cs="Arial"/>
                <w:b/>
                <w:sz w:val="22"/>
                <w:szCs w:val="22"/>
              </w:rPr>
              <w:t>Liczba osób z problemem alkoholowym, z którymi gminna komisja rozwiązywania problemów alkoholowych przeprowadziła rozmowy</w:t>
            </w:r>
          </w:p>
        </w:tc>
        <w:tc>
          <w:tcPr>
            <w:tcW w:w="1888" w:type="dxa"/>
            <w:tcBorders>
              <w:top w:val="single" w:sz="4" w:space="0" w:color="auto"/>
              <w:left w:val="nil"/>
              <w:bottom w:val="single" w:sz="4" w:space="0" w:color="auto"/>
              <w:right w:val="single" w:sz="4" w:space="0" w:color="auto"/>
            </w:tcBorders>
          </w:tcPr>
          <w:p w14:paraId="7808DB4F" w14:textId="77777777" w:rsidR="001676E4" w:rsidRPr="003D1277" w:rsidRDefault="001676E4" w:rsidP="003D66E5">
            <w:pPr>
              <w:spacing w:after="0"/>
              <w:jc w:val="center"/>
              <w:rPr>
                <w:rFonts w:cs="Arial"/>
                <w:b/>
                <w:sz w:val="22"/>
                <w:szCs w:val="22"/>
              </w:rPr>
            </w:pPr>
            <w:r w:rsidRPr="003D1277">
              <w:rPr>
                <w:rFonts w:cs="Arial"/>
                <w:b/>
                <w:sz w:val="22"/>
                <w:szCs w:val="22"/>
              </w:rPr>
              <w:t xml:space="preserve">Liczba członków </w:t>
            </w:r>
          </w:p>
          <w:p w14:paraId="06D24F21" w14:textId="77777777" w:rsidR="001676E4" w:rsidRPr="003D1277" w:rsidRDefault="001676E4" w:rsidP="003D66E5">
            <w:pPr>
              <w:spacing w:after="0"/>
              <w:jc w:val="center"/>
              <w:rPr>
                <w:rFonts w:cs="Arial"/>
                <w:b/>
                <w:sz w:val="22"/>
                <w:szCs w:val="22"/>
              </w:rPr>
            </w:pPr>
            <w:r w:rsidRPr="003D1277">
              <w:rPr>
                <w:rFonts w:cs="Arial"/>
                <w:b/>
                <w:sz w:val="22"/>
                <w:szCs w:val="22"/>
              </w:rPr>
              <w:t xml:space="preserve">rodzin osób </w:t>
            </w:r>
            <w:r w:rsidRPr="003D1277">
              <w:rPr>
                <w:rFonts w:cs="Arial"/>
                <w:b/>
                <w:sz w:val="22"/>
                <w:szCs w:val="22"/>
              </w:rPr>
              <w:br/>
              <w:t xml:space="preserve">z problemem </w:t>
            </w:r>
          </w:p>
          <w:p w14:paraId="4D3247FB" w14:textId="77777777" w:rsidR="001676E4" w:rsidRPr="003D1277" w:rsidRDefault="001676E4" w:rsidP="003D66E5">
            <w:pPr>
              <w:spacing w:after="0"/>
              <w:jc w:val="center"/>
              <w:rPr>
                <w:rFonts w:cs="Arial"/>
                <w:b/>
                <w:sz w:val="22"/>
                <w:szCs w:val="22"/>
              </w:rPr>
            </w:pPr>
            <w:r w:rsidRPr="003D1277">
              <w:rPr>
                <w:rFonts w:cs="Arial"/>
                <w:b/>
                <w:sz w:val="22"/>
                <w:szCs w:val="22"/>
              </w:rPr>
              <w:t>alkoholowym,</w:t>
            </w:r>
            <w:r w:rsidRPr="003D1277">
              <w:rPr>
                <w:rFonts w:cs="Arial"/>
                <w:b/>
                <w:sz w:val="22"/>
                <w:szCs w:val="22"/>
              </w:rPr>
              <w:br/>
              <w:t xml:space="preserve">z którymi </w:t>
            </w:r>
          </w:p>
          <w:p w14:paraId="1D003B5B" w14:textId="77777777" w:rsidR="001676E4" w:rsidRPr="003D1277" w:rsidRDefault="001676E4" w:rsidP="003D66E5">
            <w:pPr>
              <w:spacing w:after="0"/>
              <w:jc w:val="center"/>
              <w:rPr>
                <w:rFonts w:cs="Arial"/>
                <w:b/>
                <w:sz w:val="22"/>
                <w:szCs w:val="22"/>
              </w:rPr>
            </w:pPr>
            <w:r w:rsidRPr="003D1277">
              <w:rPr>
                <w:rFonts w:cs="Arial"/>
                <w:b/>
                <w:sz w:val="22"/>
                <w:szCs w:val="22"/>
              </w:rPr>
              <w:t xml:space="preserve">przeprowadzono </w:t>
            </w:r>
          </w:p>
          <w:p w14:paraId="2CF1DD5D" w14:textId="77777777" w:rsidR="001676E4" w:rsidRPr="003D1277" w:rsidRDefault="001676E4" w:rsidP="003D66E5">
            <w:pPr>
              <w:spacing w:after="0"/>
              <w:jc w:val="center"/>
              <w:rPr>
                <w:rFonts w:cs="Arial"/>
                <w:b/>
                <w:sz w:val="22"/>
                <w:szCs w:val="22"/>
              </w:rPr>
            </w:pPr>
            <w:r w:rsidRPr="003D1277">
              <w:rPr>
                <w:rFonts w:cs="Arial"/>
                <w:b/>
                <w:sz w:val="22"/>
                <w:szCs w:val="22"/>
              </w:rPr>
              <w:t>rozmowy</w:t>
            </w:r>
          </w:p>
        </w:tc>
        <w:tc>
          <w:tcPr>
            <w:tcW w:w="2551" w:type="dxa"/>
            <w:tcBorders>
              <w:top w:val="single" w:sz="4" w:space="0" w:color="auto"/>
              <w:left w:val="nil"/>
              <w:bottom w:val="single" w:sz="4" w:space="0" w:color="auto"/>
              <w:right w:val="single" w:sz="4" w:space="0" w:color="auto"/>
            </w:tcBorders>
            <w:noWrap/>
          </w:tcPr>
          <w:p w14:paraId="55C60151" w14:textId="77777777" w:rsidR="001676E4" w:rsidRPr="003D1277" w:rsidRDefault="001676E4" w:rsidP="003D66E5">
            <w:pPr>
              <w:spacing w:after="0"/>
              <w:jc w:val="center"/>
              <w:rPr>
                <w:rFonts w:cs="Arial"/>
                <w:b/>
                <w:sz w:val="22"/>
                <w:szCs w:val="22"/>
              </w:rPr>
            </w:pPr>
            <w:r w:rsidRPr="003D1277">
              <w:rPr>
                <w:rFonts w:cs="Arial"/>
                <w:b/>
                <w:sz w:val="22"/>
                <w:szCs w:val="22"/>
              </w:rPr>
              <w:t>Liczba osób, w stosunku do których podjęto czynności zmierzające do orzeczenia o zastosowaniu wobec osoby uzależnionej od alkoholu obowiązku poddania się leczeniu odwykowemu</w:t>
            </w:r>
          </w:p>
        </w:tc>
        <w:tc>
          <w:tcPr>
            <w:tcW w:w="1854" w:type="dxa"/>
            <w:tcBorders>
              <w:top w:val="single" w:sz="4" w:space="0" w:color="auto"/>
              <w:left w:val="nil"/>
              <w:bottom w:val="single" w:sz="4" w:space="0" w:color="auto"/>
              <w:right w:val="single" w:sz="4" w:space="0" w:color="auto"/>
            </w:tcBorders>
            <w:noWrap/>
          </w:tcPr>
          <w:p w14:paraId="282D53AC" w14:textId="77777777" w:rsidR="001676E4" w:rsidRPr="003D1277" w:rsidRDefault="001676E4" w:rsidP="003D66E5">
            <w:pPr>
              <w:spacing w:after="0"/>
              <w:jc w:val="center"/>
              <w:rPr>
                <w:rFonts w:cs="Arial"/>
                <w:b/>
                <w:sz w:val="22"/>
                <w:szCs w:val="22"/>
              </w:rPr>
            </w:pPr>
            <w:r w:rsidRPr="003D1277">
              <w:rPr>
                <w:rFonts w:cs="Arial"/>
                <w:b/>
                <w:sz w:val="22"/>
                <w:szCs w:val="22"/>
              </w:rPr>
              <w:t xml:space="preserve">Liczba osób, wobec których wystąpiono </w:t>
            </w:r>
            <w:r w:rsidRPr="003D1277">
              <w:rPr>
                <w:rFonts w:cs="Arial"/>
                <w:b/>
                <w:sz w:val="22"/>
                <w:szCs w:val="22"/>
              </w:rPr>
              <w:br/>
              <w:t>z wnioskiem do sądu</w:t>
            </w:r>
            <w:r w:rsidRPr="003D1277">
              <w:rPr>
                <w:rFonts w:cs="Arial"/>
                <w:b/>
                <w:sz w:val="22"/>
                <w:szCs w:val="22"/>
              </w:rPr>
              <w:br/>
              <w:t>o zobowiązanie do podjęcia leczenia odwykowego</w:t>
            </w:r>
          </w:p>
        </w:tc>
      </w:tr>
      <w:tr w:rsidR="001676E4" w:rsidRPr="003D1277" w14:paraId="2CE1B62C" w14:textId="77777777" w:rsidTr="003D66E5">
        <w:trPr>
          <w:trHeight w:val="286"/>
        </w:trPr>
        <w:tc>
          <w:tcPr>
            <w:tcW w:w="851" w:type="dxa"/>
            <w:tcBorders>
              <w:top w:val="single" w:sz="4" w:space="0" w:color="auto"/>
              <w:left w:val="single" w:sz="4" w:space="0" w:color="auto"/>
              <w:bottom w:val="single" w:sz="4" w:space="0" w:color="auto"/>
              <w:right w:val="single" w:sz="4" w:space="0" w:color="auto"/>
            </w:tcBorders>
            <w:noWrap/>
            <w:vAlign w:val="center"/>
          </w:tcPr>
          <w:p w14:paraId="219C39E3" w14:textId="77777777" w:rsidR="001676E4" w:rsidRPr="003D1277" w:rsidRDefault="001676E4" w:rsidP="003D66E5">
            <w:pPr>
              <w:spacing w:after="0"/>
              <w:jc w:val="center"/>
              <w:rPr>
                <w:rFonts w:cs="Arial"/>
                <w:b/>
                <w:sz w:val="22"/>
                <w:szCs w:val="22"/>
              </w:rPr>
            </w:pPr>
            <w:r w:rsidRPr="003D1277">
              <w:rPr>
                <w:rFonts w:cs="Arial"/>
                <w:b/>
                <w:sz w:val="22"/>
                <w:szCs w:val="22"/>
              </w:rPr>
              <w:t>2020</w:t>
            </w:r>
          </w:p>
          <w:p w14:paraId="01658D2A" w14:textId="77777777" w:rsidR="001676E4" w:rsidRPr="003D1277" w:rsidRDefault="001676E4" w:rsidP="003D66E5">
            <w:pPr>
              <w:spacing w:after="0"/>
              <w:jc w:val="center"/>
              <w:rPr>
                <w:rFonts w:cs="Arial"/>
                <w:b/>
                <w:sz w:val="22"/>
                <w:szCs w:val="22"/>
              </w:rPr>
            </w:pPr>
          </w:p>
        </w:tc>
        <w:tc>
          <w:tcPr>
            <w:tcW w:w="2410" w:type="dxa"/>
            <w:tcBorders>
              <w:top w:val="single" w:sz="4" w:space="0" w:color="auto"/>
              <w:left w:val="nil"/>
              <w:bottom w:val="single" w:sz="4" w:space="0" w:color="auto"/>
              <w:right w:val="single" w:sz="4" w:space="0" w:color="auto"/>
            </w:tcBorders>
            <w:noWrap/>
            <w:vAlign w:val="center"/>
          </w:tcPr>
          <w:p w14:paraId="2FE5339D" w14:textId="77777777" w:rsidR="001676E4" w:rsidRPr="003D1277" w:rsidRDefault="001676E4" w:rsidP="003D66E5">
            <w:pPr>
              <w:spacing w:after="0"/>
              <w:jc w:val="center"/>
              <w:rPr>
                <w:rFonts w:cs="Arial"/>
                <w:sz w:val="22"/>
                <w:szCs w:val="22"/>
              </w:rPr>
            </w:pPr>
            <w:r w:rsidRPr="003D1277">
              <w:rPr>
                <w:rFonts w:cs="Arial"/>
                <w:sz w:val="22"/>
                <w:szCs w:val="22"/>
              </w:rPr>
              <w:t>3 197</w:t>
            </w:r>
          </w:p>
          <w:p w14:paraId="06F9E016" w14:textId="77777777" w:rsidR="001676E4" w:rsidRPr="003D1277" w:rsidRDefault="001676E4" w:rsidP="003D66E5">
            <w:pPr>
              <w:spacing w:after="0"/>
              <w:jc w:val="center"/>
              <w:rPr>
                <w:rFonts w:cs="Arial"/>
                <w:sz w:val="22"/>
                <w:szCs w:val="22"/>
              </w:rPr>
            </w:pPr>
          </w:p>
        </w:tc>
        <w:tc>
          <w:tcPr>
            <w:tcW w:w="1888" w:type="dxa"/>
            <w:tcBorders>
              <w:top w:val="single" w:sz="4" w:space="0" w:color="auto"/>
              <w:left w:val="nil"/>
              <w:bottom w:val="single" w:sz="4" w:space="0" w:color="auto"/>
              <w:right w:val="single" w:sz="4" w:space="0" w:color="auto"/>
            </w:tcBorders>
            <w:vAlign w:val="center"/>
          </w:tcPr>
          <w:p w14:paraId="3B166700" w14:textId="77777777" w:rsidR="001676E4" w:rsidRPr="003D1277" w:rsidRDefault="001676E4" w:rsidP="003D66E5">
            <w:pPr>
              <w:spacing w:after="0"/>
              <w:jc w:val="center"/>
              <w:rPr>
                <w:rFonts w:cs="Arial"/>
                <w:sz w:val="22"/>
                <w:szCs w:val="22"/>
              </w:rPr>
            </w:pPr>
            <w:r w:rsidRPr="003D1277">
              <w:rPr>
                <w:rFonts w:cs="Arial"/>
                <w:sz w:val="22"/>
                <w:szCs w:val="22"/>
              </w:rPr>
              <w:t>2 611</w:t>
            </w:r>
          </w:p>
          <w:p w14:paraId="657A3344" w14:textId="77777777" w:rsidR="001676E4" w:rsidRPr="003D1277" w:rsidRDefault="001676E4" w:rsidP="003D66E5">
            <w:pPr>
              <w:spacing w:after="0"/>
              <w:jc w:val="center"/>
              <w:rPr>
                <w:rFonts w:cs="Arial"/>
                <w:sz w:val="22"/>
                <w:szCs w:val="22"/>
              </w:rPr>
            </w:pPr>
          </w:p>
        </w:tc>
        <w:tc>
          <w:tcPr>
            <w:tcW w:w="2551" w:type="dxa"/>
            <w:tcBorders>
              <w:top w:val="single" w:sz="4" w:space="0" w:color="auto"/>
              <w:left w:val="nil"/>
              <w:bottom w:val="single" w:sz="4" w:space="0" w:color="auto"/>
              <w:right w:val="single" w:sz="4" w:space="0" w:color="auto"/>
            </w:tcBorders>
            <w:noWrap/>
            <w:vAlign w:val="center"/>
          </w:tcPr>
          <w:p w14:paraId="1C0DAC25" w14:textId="77777777" w:rsidR="001676E4" w:rsidRPr="003D1277" w:rsidRDefault="001676E4" w:rsidP="003D66E5">
            <w:pPr>
              <w:spacing w:after="0"/>
              <w:jc w:val="center"/>
              <w:rPr>
                <w:rFonts w:cs="Arial"/>
                <w:sz w:val="22"/>
                <w:szCs w:val="22"/>
              </w:rPr>
            </w:pPr>
            <w:r w:rsidRPr="003D1277">
              <w:rPr>
                <w:rFonts w:cs="Arial"/>
                <w:sz w:val="22"/>
                <w:szCs w:val="22"/>
              </w:rPr>
              <w:t>2 343</w:t>
            </w:r>
          </w:p>
          <w:p w14:paraId="5391C542" w14:textId="77777777" w:rsidR="001676E4" w:rsidRPr="003D1277" w:rsidRDefault="001676E4" w:rsidP="003D66E5">
            <w:pPr>
              <w:spacing w:after="0"/>
              <w:jc w:val="center"/>
              <w:rPr>
                <w:rFonts w:cs="Arial"/>
                <w:sz w:val="22"/>
                <w:szCs w:val="22"/>
              </w:rPr>
            </w:pPr>
          </w:p>
        </w:tc>
        <w:tc>
          <w:tcPr>
            <w:tcW w:w="1854" w:type="dxa"/>
            <w:tcBorders>
              <w:top w:val="single" w:sz="4" w:space="0" w:color="auto"/>
              <w:left w:val="nil"/>
              <w:bottom w:val="single" w:sz="4" w:space="0" w:color="auto"/>
              <w:right w:val="single" w:sz="4" w:space="0" w:color="auto"/>
            </w:tcBorders>
            <w:noWrap/>
            <w:vAlign w:val="center"/>
          </w:tcPr>
          <w:p w14:paraId="1A494933" w14:textId="77777777" w:rsidR="001676E4" w:rsidRPr="003D1277" w:rsidRDefault="001676E4" w:rsidP="003D66E5">
            <w:pPr>
              <w:spacing w:after="0"/>
              <w:jc w:val="center"/>
              <w:rPr>
                <w:rFonts w:cs="Arial"/>
                <w:sz w:val="22"/>
                <w:szCs w:val="22"/>
              </w:rPr>
            </w:pPr>
            <w:r w:rsidRPr="003D1277">
              <w:rPr>
                <w:rFonts w:cs="Arial"/>
                <w:sz w:val="22"/>
                <w:szCs w:val="22"/>
              </w:rPr>
              <w:t>1 115</w:t>
            </w:r>
          </w:p>
          <w:p w14:paraId="0889E34D" w14:textId="77777777" w:rsidR="001676E4" w:rsidRPr="003D1277" w:rsidRDefault="001676E4" w:rsidP="003D66E5">
            <w:pPr>
              <w:spacing w:after="0"/>
              <w:jc w:val="center"/>
              <w:rPr>
                <w:rFonts w:cs="Arial"/>
                <w:sz w:val="22"/>
                <w:szCs w:val="22"/>
              </w:rPr>
            </w:pPr>
          </w:p>
        </w:tc>
      </w:tr>
      <w:tr w:rsidR="001676E4" w:rsidRPr="003D1277" w14:paraId="5160A4CA" w14:textId="77777777" w:rsidTr="003D66E5">
        <w:trPr>
          <w:trHeight w:val="286"/>
        </w:trPr>
        <w:tc>
          <w:tcPr>
            <w:tcW w:w="851" w:type="dxa"/>
            <w:tcBorders>
              <w:top w:val="single" w:sz="4" w:space="0" w:color="auto"/>
              <w:left w:val="single" w:sz="4" w:space="0" w:color="auto"/>
              <w:bottom w:val="single" w:sz="4" w:space="0" w:color="auto"/>
              <w:right w:val="single" w:sz="4" w:space="0" w:color="auto"/>
            </w:tcBorders>
            <w:noWrap/>
            <w:vAlign w:val="center"/>
          </w:tcPr>
          <w:p w14:paraId="6A168E79" w14:textId="77777777" w:rsidR="001676E4" w:rsidRPr="003D1277" w:rsidRDefault="001676E4" w:rsidP="003D66E5">
            <w:pPr>
              <w:spacing w:after="0"/>
              <w:jc w:val="center"/>
              <w:rPr>
                <w:rFonts w:cs="Arial"/>
                <w:b/>
                <w:sz w:val="22"/>
                <w:szCs w:val="22"/>
              </w:rPr>
            </w:pPr>
            <w:r w:rsidRPr="003D1277">
              <w:rPr>
                <w:rFonts w:cs="Arial"/>
                <w:b/>
                <w:sz w:val="22"/>
                <w:szCs w:val="22"/>
              </w:rPr>
              <w:t>2021</w:t>
            </w:r>
          </w:p>
        </w:tc>
        <w:tc>
          <w:tcPr>
            <w:tcW w:w="2410" w:type="dxa"/>
            <w:tcBorders>
              <w:top w:val="single" w:sz="4" w:space="0" w:color="auto"/>
              <w:left w:val="nil"/>
              <w:bottom w:val="single" w:sz="4" w:space="0" w:color="auto"/>
              <w:right w:val="single" w:sz="4" w:space="0" w:color="auto"/>
            </w:tcBorders>
            <w:noWrap/>
            <w:vAlign w:val="center"/>
          </w:tcPr>
          <w:p w14:paraId="7E64A5A6" w14:textId="77777777" w:rsidR="001676E4" w:rsidRPr="003D1277" w:rsidRDefault="001676E4" w:rsidP="003D66E5">
            <w:pPr>
              <w:spacing w:after="0"/>
              <w:jc w:val="center"/>
              <w:rPr>
                <w:rFonts w:cs="Arial"/>
                <w:sz w:val="22"/>
                <w:szCs w:val="22"/>
              </w:rPr>
            </w:pPr>
            <w:r w:rsidRPr="003D1277">
              <w:rPr>
                <w:rFonts w:cs="Arial"/>
                <w:sz w:val="22"/>
                <w:szCs w:val="22"/>
              </w:rPr>
              <w:t>3 533</w:t>
            </w:r>
          </w:p>
        </w:tc>
        <w:tc>
          <w:tcPr>
            <w:tcW w:w="1888" w:type="dxa"/>
            <w:tcBorders>
              <w:top w:val="single" w:sz="4" w:space="0" w:color="auto"/>
              <w:left w:val="nil"/>
              <w:bottom w:val="single" w:sz="4" w:space="0" w:color="auto"/>
              <w:right w:val="single" w:sz="4" w:space="0" w:color="auto"/>
            </w:tcBorders>
            <w:vAlign w:val="center"/>
          </w:tcPr>
          <w:p w14:paraId="7633CE82" w14:textId="77777777" w:rsidR="001676E4" w:rsidRPr="003D1277" w:rsidRDefault="001676E4" w:rsidP="003D66E5">
            <w:pPr>
              <w:spacing w:after="0"/>
              <w:jc w:val="center"/>
              <w:rPr>
                <w:rFonts w:cs="Arial"/>
                <w:sz w:val="22"/>
                <w:szCs w:val="22"/>
              </w:rPr>
            </w:pPr>
            <w:r w:rsidRPr="003D1277">
              <w:rPr>
                <w:rFonts w:cs="Arial"/>
                <w:sz w:val="22"/>
                <w:szCs w:val="22"/>
              </w:rPr>
              <w:t>2 798</w:t>
            </w:r>
          </w:p>
        </w:tc>
        <w:tc>
          <w:tcPr>
            <w:tcW w:w="2551" w:type="dxa"/>
            <w:tcBorders>
              <w:top w:val="single" w:sz="4" w:space="0" w:color="auto"/>
              <w:left w:val="nil"/>
              <w:bottom w:val="single" w:sz="4" w:space="0" w:color="auto"/>
              <w:right w:val="single" w:sz="4" w:space="0" w:color="auto"/>
            </w:tcBorders>
            <w:noWrap/>
            <w:vAlign w:val="center"/>
          </w:tcPr>
          <w:p w14:paraId="3C863F26" w14:textId="77777777" w:rsidR="001676E4" w:rsidRPr="003D1277" w:rsidRDefault="001676E4" w:rsidP="003D66E5">
            <w:pPr>
              <w:spacing w:after="0"/>
              <w:jc w:val="center"/>
              <w:rPr>
                <w:rFonts w:cs="Arial"/>
                <w:sz w:val="22"/>
                <w:szCs w:val="22"/>
              </w:rPr>
            </w:pPr>
            <w:r w:rsidRPr="003D1277">
              <w:rPr>
                <w:rFonts w:cs="Arial"/>
                <w:sz w:val="22"/>
                <w:szCs w:val="22"/>
              </w:rPr>
              <w:t>2 651</w:t>
            </w:r>
          </w:p>
        </w:tc>
        <w:tc>
          <w:tcPr>
            <w:tcW w:w="1854" w:type="dxa"/>
            <w:tcBorders>
              <w:top w:val="single" w:sz="4" w:space="0" w:color="auto"/>
              <w:left w:val="nil"/>
              <w:bottom w:val="single" w:sz="4" w:space="0" w:color="auto"/>
              <w:right w:val="single" w:sz="4" w:space="0" w:color="auto"/>
            </w:tcBorders>
            <w:noWrap/>
            <w:vAlign w:val="center"/>
          </w:tcPr>
          <w:p w14:paraId="05315A44" w14:textId="77777777" w:rsidR="001676E4" w:rsidRPr="003D1277" w:rsidRDefault="001676E4" w:rsidP="003D66E5">
            <w:pPr>
              <w:spacing w:after="0"/>
              <w:jc w:val="center"/>
              <w:rPr>
                <w:rFonts w:cs="Arial"/>
                <w:sz w:val="22"/>
                <w:szCs w:val="22"/>
              </w:rPr>
            </w:pPr>
            <w:r w:rsidRPr="003D1277">
              <w:rPr>
                <w:rFonts w:cs="Arial"/>
                <w:sz w:val="22"/>
                <w:szCs w:val="22"/>
              </w:rPr>
              <w:t>1 386</w:t>
            </w:r>
          </w:p>
        </w:tc>
      </w:tr>
      <w:tr w:rsidR="001676E4" w:rsidRPr="003D1277" w14:paraId="7541DABF" w14:textId="77777777" w:rsidTr="003D66E5">
        <w:trPr>
          <w:trHeight w:val="286"/>
        </w:trPr>
        <w:tc>
          <w:tcPr>
            <w:tcW w:w="851" w:type="dxa"/>
            <w:tcBorders>
              <w:top w:val="single" w:sz="4" w:space="0" w:color="auto"/>
              <w:left w:val="single" w:sz="4" w:space="0" w:color="auto"/>
              <w:bottom w:val="single" w:sz="4" w:space="0" w:color="auto"/>
              <w:right w:val="single" w:sz="4" w:space="0" w:color="auto"/>
            </w:tcBorders>
            <w:noWrap/>
            <w:vAlign w:val="center"/>
          </w:tcPr>
          <w:p w14:paraId="039EBB2B" w14:textId="77777777" w:rsidR="001676E4" w:rsidRPr="003D1277" w:rsidRDefault="001676E4" w:rsidP="003D66E5">
            <w:pPr>
              <w:spacing w:after="0"/>
              <w:jc w:val="center"/>
              <w:rPr>
                <w:rFonts w:cs="Arial"/>
                <w:b/>
                <w:sz w:val="22"/>
                <w:szCs w:val="22"/>
              </w:rPr>
            </w:pPr>
            <w:r w:rsidRPr="003D1277">
              <w:rPr>
                <w:rFonts w:cs="Arial"/>
                <w:b/>
                <w:sz w:val="22"/>
                <w:szCs w:val="22"/>
              </w:rPr>
              <w:t>2022</w:t>
            </w:r>
          </w:p>
        </w:tc>
        <w:tc>
          <w:tcPr>
            <w:tcW w:w="2410" w:type="dxa"/>
            <w:tcBorders>
              <w:top w:val="single" w:sz="4" w:space="0" w:color="auto"/>
              <w:left w:val="nil"/>
              <w:bottom w:val="single" w:sz="4" w:space="0" w:color="auto"/>
              <w:right w:val="single" w:sz="4" w:space="0" w:color="auto"/>
            </w:tcBorders>
            <w:noWrap/>
            <w:vAlign w:val="center"/>
          </w:tcPr>
          <w:p w14:paraId="7B7F15AB" w14:textId="77777777" w:rsidR="001676E4" w:rsidRPr="003D1277" w:rsidRDefault="001676E4" w:rsidP="003D66E5">
            <w:pPr>
              <w:spacing w:after="0"/>
              <w:jc w:val="center"/>
              <w:rPr>
                <w:rFonts w:cs="Arial"/>
                <w:sz w:val="22"/>
                <w:szCs w:val="22"/>
              </w:rPr>
            </w:pPr>
            <w:r w:rsidRPr="003D1277">
              <w:rPr>
                <w:rFonts w:cs="Arial"/>
                <w:sz w:val="22"/>
                <w:szCs w:val="22"/>
              </w:rPr>
              <w:t>3 560</w:t>
            </w:r>
          </w:p>
        </w:tc>
        <w:tc>
          <w:tcPr>
            <w:tcW w:w="1888" w:type="dxa"/>
            <w:tcBorders>
              <w:top w:val="single" w:sz="4" w:space="0" w:color="auto"/>
              <w:left w:val="nil"/>
              <w:bottom w:val="single" w:sz="4" w:space="0" w:color="auto"/>
              <w:right w:val="single" w:sz="4" w:space="0" w:color="auto"/>
            </w:tcBorders>
            <w:vAlign w:val="center"/>
          </w:tcPr>
          <w:p w14:paraId="556F3209" w14:textId="77777777" w:rsidR="001676E4" w:rsidRPr="003D1277" w:rsidRDefault="001676E4" w:rsidP="003D66E5">
            <w:pPr>
              <w:spacing w:after="0"/>
              <w:jc w:val="center"/>
              <w:rPr>
                <w:rFonts w:cs="Arial"/>
                <w:sz w:val="22"/>
                <w:szCs w:val="22"/>
              </w:rPr>
            </w:pPr>
            <w:r w:rsidRPr="003D1277">
              <w:rPr>
                <w:rFonts w:cs="Arial"/>
                <w:sz w:val="22"/>
                <w:szCs w:val="22"/>
              </w:rPr>
              <w:t>2 489</w:t>
            </w:r>
          </w:p>
        </w:tc>
        <w:tc>
          <w:tcPr>
            <w:tcW w:w="2551" w:type="dxa"/>
            <w:tcBorders>
              <w:top w:val="single" w:sz="4" w:space="0" w:color="auto"/>
              <w:left w:val="nil"/>
              <w:bottom w:val="single" w:sz="4" w:space="0" w:color="auto"/>
              <w:right w:val="single" w:sz="4" w:space="0" w:color="auto"/>
            </w:tcBorders>
            <w:noWrap/>
            <w:vAlign w:val="center"/>
          </w:tcPr>
          <w:p w14:paraId="25DF7949" w14:textId="77777777" w:rsidR="001676E4" w:rsidRPr="003D1277" w:rsidRDefault="001676E4" w:rsidP="003D66E5">
            <w:pPr>
              <w:spacing w:after="0"/>
              <w:jc w:val="center"/>
              <w:rPr>
                <w:rFonts w:cs="Arial"/>
                <w:sz w:val="22"/>
                <w:szCs w:val="22"/>
              </w:rPr>
            </w:pPr>
            <w:r w:rsidRPr="003D1277">
              <w:rPr>
                <w:rFonts w:cs="Arial"/>
                <w:sz w:val="22"/>
                <w:szCs w:val="22"/>
              </w:rPr>
              <w:t>x</w:t>
            </w:r>
          </w:p>
        </w:tc>
        <w:tc>
          <w:tcPr>
            <w:tcW w:w="1854" w:type="dxa"/>
            <w:tcBorders>
              <w:top w:val="single" w:sz="4" w:space="0" w:color="auto"/>
              <w:left w:val="nil"/>
              <w:bottom w:val="single" w:sz="4" w:space="0" w:color="auto"/>
              <w:right w:val="single" w:sz="4" w:space="0" w:color="auto"/>
            </w:tcBorders>
            <w:noWrap/>
            <w:vAlign w:val="center"/>
          </w:tcPr>
          <w:p w14:paraId="093C9C39" w14:textId="77777777" w:rsidR="001676E4" w:rsidRPr="003D1277" w:rsidRDefault="001676E4" w:rsidP="003D66E5">
            <w:pPr>
              <w:spacing w:after="0"/>
              <w:jc w:val="center"/>
              <w:rPr>
                <w:rFonts w:cs="Arial"/>
                <w:sz w:val="22"/>
                <w:szCs w:val="22"/>
              </w:rPr>
            </w:pPr>
            <w:r w:rsidRPr="003D1277">
              <w:rPr>
                <w:rFonts w:cs="Arial"/>
                <w:sz w:val="22"/>
                <w:szCs w:val="22"/>
              </w:rPr>
              <w:t>1 349</w:t>
            </w:r>
          </w:p>
        </w:tc>
      </w:tr>
      <w:tr w:rsidR="001676E4" w:rsidRPr="003D1277" w14:paraId="32D4311D" w14:textId="77777777" w:rsidTr="003D66E5">
        <w:trPr>
          <w:trHeight w:val="286"/>
        </w:trPr>
        <w:tc>
          <w:tcPr>
            <w:tcW w:w="851" w:type="dxa"/>
            <w:tcBorders>
              <w:top w:val="single" w:sz="4" w:space="0" w:color="auto"/>
              <w:left w:val="single" w:sz="4" w:space="0" w:color="auto"/>
              <w:bottom w:val="single" w:sz="4" w:space="0" w:color="auto"/>
              <w:right w:val="single" w:sz="4" w:space="0" w:color="auto"/>
            </w:tcBorders>
            <w:noWrap/>
            <w:vAlign w:val="center"/>
          </w:tcPr>
          <w:p w14:paraId="7A71B962" w14:textId="77777777" w:rsidR="001676E4" w:rsidRPr="003D1277" w:rsidRDefault="001676E4" w:rsidP="003D66E5">
            <w:pPr>
              <w:spacing w:after="0"/>
              <w:jc w:val="center"/>
              <w:rPr>
                <w:rFonts w:cs="Arial"/>
                <w:b/>
                <w:sz w:val="22"/>
                <w:szCs w:val="22"/>
              </w:rPr>
            </w:pPr>
            <w:r w:rsidRPr="003D1277">
              <w:rPr>
                <w:rFonts w:cs="Arial"/>
                <w:b/>
                <w:sz w:val="22"/>
                <w:szCs w:val="22"/>
              </w:rPr>
              <w:t>2023</w:t>
            </w:r>
          </w:p>
        </w:tc>
        <w:tc>
          <w:tcPr>
            <w:tcW w:w="2410" w:type="dxa"/>
            <w:tcBorders>
              <w:top w:val="single" w:sz="4" w:space="0" w:color="auto"/>
              <w:left w:val="nil"/>
              <w:bottom w:val="single" w:sz="4" w:space="0" w:color="auto"/>
              <w:right w:val="single" w:sz="4" w:space="0" w:color="auto"/>
            </w:tcBorders>
            <w:noWrap/>
            <w:vAlign w:val="center"/>
          </w:tcPr>
          <w:p w14:paraId="77E1E94C" w14:textId="77777777" w:rsidR="001676E4" w:rsidRPr="003D1277" w:rsidRDefault="001676E4" w:rsidP="003D66E5">
            <w:pPr>
              <w:spacing w:after="0"/>
              <w:jc w:val="center"/>
              <w:rPr>
                <w:rFonts w:cs="Arial"/>
                <w:sz w:val="22"/>
                <w:szCs w:val="22"/>
              </w:rPr>
            </w:pPr>
            <w:r w:rsidRPr="003D1277">
              <w:rPr>
                <w:rFonts w:cs="Arial"/>
                <w:sz w:val="22"/>
                <w:szCs w:val="22"/>
              </w:rPr>
              <w:t>3 982</w:t>
            </w:r>
          </w:p>
        </w:tc>
        <w:tc>
          <w:tcPr>
            <w:tcW w:w="1888" w:type="dxa"/>
            <w:tcBorders>
              <w:top w:val="single" w:sz="4" w:space="0" w:color="auto"/>
              <w:left w:val="nil"/>
              <w:bottom w:val="single" w:sz="4" w:space="0" w:color="auto"/>
              <w:right w:val="single" w:sz="4" w:space="0" w:color="auto"/>
            </w:tcBorders>
            <w:vAlign w:val="center"/>
          </w:tcPr>
          <w:p w14:paraId="30BFFCD3" w14:textId="77777777" w:rsidR="001676E4" w:rsidRPr="003D1277" w:rsidRDefault="001676E4" w:rsidP="003D66E5">
            <w:pPr>
              <w:spacing w:after="0"/>
              <w:jc w:val="center"/>
              <w:rPr>
                <w:rFonts w:cs="Arial"/>
                <w:sz w:val="22"/>
                <w:szCs w:val="22"/>
              </w:rPr>
            </w:pPr>
            <w:r w:rsidRPr="003D1277">
              <w:rPr>
                <w:rFonts w:cs="Arial"/>
                <w:sz w:val="22"/>
                <w:szCs w:val="22"/>
              </w:rPr>
              <w:t>3 100</w:t>
            </w:r>
          </w:p>
        </w:tc>
        <w:tc>
          <w:tcPr>
            <w:tcW w:w="2551" w:type="dxa"/>
            <w:tcBorders>
              <w:top w:val="single" w:sz="4" w:space="0" w:color="auto"/>
              <w:left w:val="nil"/>
              <w:bottom w:val="single" w:sz="4" w:space="0" w:color="auto"/>
              <w:right w:val="single" w:sz="4" w:space="0" w:color="auto"/>
            </w:tcBorders>
            <w:noWrap/>
            <w:vAlign w:val="center"/>
          </w:tcPr>
          <w:p w14:paraId="5052FA00" w14:textId="77777777" w:rsidR="001676E4" w:rsidRPr="003D1277" w:rsidRDefault="001676E4" w:rsidP="003D66E5">
            <w:pPr>
              <w:spacing w:after="0"/>
              <w:jc w:val="center"/>
              <w:rPr>
                <w:rFonts w:cs="Arial"/>
                <w:sz w:val="22"/>
                <w:szCs w:val="22"/>
              </w:rPr>
            </w:pPr>
            <w:r w:rsidRPr="003D1277">
              <w:rPr>
                <w:rFonts w:cs="Arial"/>
                <w:sz w:val="22"/>
                <w:szCs w:val="22"/>
              </w:rPr>
              <w:t>x</w:t>
            </w:r>
          </w:p>
        </w:tc>
        <w:tc>
          <w:tcPr>
            <w:tcW w:w="1854" w:type="dxa"/>
            <w:tcBorders>
              <w:top w:val="single" w:sz="4" w:space="0" w:color="auto"/>
              <w:left w:val="nil"/>
              <w:bottom w:val="single" w:sz="4" w:space="0" w:color="auto"/>
              <w:right w:val="single" w:sz="4" w:space="0" w:color="auto"/>
            </w:tcBorders>
            <w:noWrap/>
            <w:vAlign w:val="center"/>
          </w:tcPr>
          <w:p w14:paraId="1A4DB98E" w14:textId="77777777" w:rsidR="001676E4" w:rsidRPr="003D1277" w:rsidRDefault="001676E4" w:rsidP="003D66E5">
            <w:pPr>
              <w:spacing w:after="0"/>
              <w:jc w:val="center"/>
              <w:rPr>
                <w:rFonts w:cs="Arial"/>
                <w:sz w:val="22"/>
                <w:szCs w:val="22"/>
              </w:rPr>
            </w:pPr>
            <w:r w:rsidRPr="003D1277">
              <w:rPr>
                <w:rFonts w:cs="Arial"/>
                <w:sz w:val="22"/>
                <w:szCs w:val="22"/>
              </w:rPr>
              <w:t>1 262</w:t>
            </w:r>
          </w:p>
        </w:tc>
      </w:tr>
    </w:tbl>
    <w:p w14:paraId="116CE5AD" w14:textId="1D283CB6" w:rsidR="001676E4" w:rsidRPr="008D235F" w:rsidRDefault="001676E4" w:rsidP="001676E4">
      <w:pPr>
        <w:spacing w:after="240" w:line="240" w:lineRule="auto"/>
        <w:jc w:val="both"/>
        <w:rPr>
          <w:rFonts w:cs="Arial"/>
          <w:sz w:val="18"/>
          <w:szCs w:val="18"/>
        </w:rPr>
      </w:pPr>
      <w:r w:rsidRPr="008D235F">
        <w:rPr>
          <w:rFonts w:cs="Arial"/>
          <w:sz w:val="18"/>
          <w:szCs w:val="18"/>
        </w:rPr>
        <w:t>Źródło: Sprawozdania z działalności samorządów gminnych w zakresie profilaktyki i rozwiązywania problemów alkoholowych (Ankieta G1) za 2020 r., PARPA oraz KCPU Profilaktyka i rozwiązywanie problemów alkoholowych w Polsce w samorządach w 2021</w:t>
      </w:r>
      <w:r w:rsidR="003D7A5B">
        <w:rPr>
          <w:rFonts w:cs="Arial"/>
          <w:sz w:val="18"/>
          <w:szCs w:val="18"/>
        </w:rPr>
        <w:t>,</w:t>
      </w:r>
      <w:r w:rsidRPr="008D235F">
        <w:rPr>
          <w:rFonts w:cs="Arial"/>
          <w:sz w:val="18"/>
          <w:szCs w:val="18"/>
        </w:rPr>
        <w:t xml:space="preserve"> 2022 i 2023 r. </w:t>
      </w:r>
    </w:p>
    <w:p w14:paraId="19B3E3E9" w14:textId="77777777" w:rsidR="001676E4" w:rsidRPr="003D1277" w:rsidRDefault="001676E4" w:rsidP="00B11CBB">
      <w:pPr>
        <w:pStyle w:val="Nagwek3"/>
        <w:ind w:firstLine="0"/>
      </w:pPr>
      <w:r w:rsidRPr="003D1277">
        <w:t xml:space="preserve">Punkty informacyjno-konsultacyjne </w:t>
      </w:r>
    </w:p>
    <w:p w14:paraId="253B0EC1" w14:textId="77777777" w:rsidR="001676E4" w:rsidRPr="00317DE2" w:rsidRDefault="001676E4" w:rsidP="001676E4">
      <w:pPr>
        <w:tabs>
          <w:tab w:val="left" w:pos="426"/>
          <w:tab w:val="left" w:pos="1134"/>
        </w:tabs>
        <w:spacing w:after="0" w:line="360" w:lineRule="auto"/>
        <w:jc w:val="both"/>
        <w:rPr>
          <w:rFonts w:cs="Arial"/>
          <w:sz w:val="22"/>
          <w:szCs w:val="22"/>
        </w:rPr>
      </w:pPr>
      <w:r w:rsidRPr="00317DE2">
        <w:rPr>
          <w:rFonts w:cs="Arial"/>
          <w:color w:val="000000"/>
          <w:sz w:val="22"/>
          <w:szCs w:val="22"/>
        </w:rPr>
        <w:tab/>
        <w:t xml:space="preserve">Działalność punktów informacyjno-konsultacyjnych stanowi jedną z form pomocy dla osób z problemem alkoholowym i ich bliskich. </w:t>
      </w:r>
      <w:r w:rsidRPr="008D235F">
        <w:rPr>
          <w:rFonts w:cs="Arial"/>
          <w:sz w:val="22"/>
          <w:szCs w:val="22"/>
        </w:rPr>
        <w:t>Zadaniem punktów jest zdiagnozowanie problemów całej rodziny i zaplanowanie pomocy dla wszystkich jej członków</w:t>
      </w:r>
      <w:r w:rsidRPr="00317DE2">
        <w:rPr>
          <w:rFonts w:cs="Arial"/>
          <w:b/>
          <w:bCs/>
          <w:sz w:val="22"/>
          <w:szCs w:val="22"/>
        </w:rPr>
        <w:t>.</w:t>
      </w:r>
      <w:r w:rsidRPr="00317DE2">
        <w:rPr>
          <w:rFonts w:cs="Arial"/>
          <w:sz w:val="22"/>
          <w:szCs w:val="22"/>
        </w:rPr>
        <w:t xml:space="preserve"> Punkty konsultacyjne mogą być prowadzone przez samorząd terytorialny, stowarzyszenia abstynenckie i inne podmioty pozarządowe. Powinny być one tworzone w gminach,</w:t>
      </w:r>
      <w:r>
        <w:rPr>
          <w:rFonts w:cs="Arial"/>
          <w:sz w:val="22"/>
          <w:szCs w:val="22"/>
        </w:rPr>
        <w:t xml:space="preserve"> </w:t>
      </w:r>
      <w:r w:rsidRPr="00317DE2">
        <w:rPr>
          <w:rFonts w:cs="Arial"/>
          <w:sz w:val="22"/>
          <w:szCs w:val="22"/>
        </w:rPr>
        <w:t>w których brakuje placówek leczenia uzależnienia od alkoholu lub dostęp do nich jest utrudniony. Punkty odgrywają istotną rolę w</w:t>
      </w:r>
      <w:r>
        <w:rPr>
          <w:rFonts w:cs="Arial"/>
          <w:sz w:val="22"/>
          <w:szCs w:val="22"/>
        </w:rPr>
        <w:t> </w:t>
      </w:r>
      <w:r w:rsidRPr="00317DE2">
        <w:rPr>
          <w:rFonts w:cs="Arial"/>
          <w:sz w:val="22"/>
          <w:szCs w:val="22"/>
        </w:rPr>
        <w:t>lokalnym systemie pomocy. Do</w:t>
      </w:r>
      <w:r w:rsidRPr="00317DE2">
        <w:rPr>
          <w:rFonts w:cs="Arial"/>
          <w:color w:val="000000"/>
          <w:sz w:val="22"/>
          <w:szCs w:val="22"/>
        </w:rPr>
        <w:t xml:space="preserve"> głównych zadań punktu konsultacyjnego należy:</w:t>
      </w:r>
    </w:p>
    <w:p w14:paraId="65B1C2ED" w14:textId="77777777" w:rsidR="001676E4" w:rsidRPr="00317DE2" w:rsidRDefault="001676E4" w:rsidP="001676E4">
      <w:pPr>
        <w:numPr>
          <w:ilvl w:val="0"/>
          <w:numId w:val="9"/>
        </w:numPr>
        <w:spacing w:after="0" w:line="360" w:lineRule="auto"/>
        <w:ind w:left="709" w:hanging="283"/>
        <w:jc w:val="both"/>
        <w:rPr>
          <w:rFonts w:cs="Arial"/>
          <w:sz w:val="22"/>
          <w:szCs w:val="22"/>
        </w:rPr>
      </w:pPr>
      <w:r w:rsidRPr="00317DE2">
        <w:rPr>
          <w:rFonts w:cs="Arial"/>
          <w:sz w:val="22"/>
          <w:szCs w:val="22"/>
        </w:rPr>
        <w:t>motywowanie zarówno osób uzależnionych, jak i członków ich rodzin do podjęcia psychoterapii w placówkach leczenia uzależnienia, kierowanie do leczenia specjalistycznego oraz do skorzystania z pomocy grup samopomocowych;</w:t>
      </w:r>
    </w:p>
    <w:p w14:paraId="6F8FDC81" w14:textId="77777777" w:rsidR="001676E4" w:rsidRPr="00317DE2" w:rsidRDefault="001676E4" w:rsidP="001676E4">
      <w:pPr>
        <w:numPr>
          <w:ilvl w:val="0"/>
          <w:numId w:val="9"/>
        </w:numPr>
        <w:spacing w:after="0" w:line="360" w:lineRule="auto"/>
        <w:ind w:left="709" w:hanging="283"/>
        <w:jc w:val="both"/>
        <w:rPr>
          <w:rFonts w:cs="Arial"/>
          <w:sz w:val="22"/>
          <w:szCs w:val="22"/>
        </w:rPr>
      </w:pPr>
      <w:r w:rsidRPr="00317DE2">
        <w:rPr>
          <w:rFonts w:cs="Arial"/>
          <w:sz w:val="22"/>
          <w:szCs w:val="22"/>
        </w:rPr>
        <w:t>motywowanie osób pijących ryzykownie i szkodliwie, ale nieuzależnionych, do zmiany szkodliwego wzoru picia;</w:t>
      </w:r>
    </w:p>
    <w:p w14:paraId="7D0B3BF8" w14:textId="77777777" w:rsidR="001676E4" w:rsidRPr="00317DE2" w:rsidRDefault="001676E4" w:rsidP="001676E4">
      <w:pPr>
        <w:numPr>
          <w:ilvl w:val="0"/>
          <w:numId w:val="9"/>
        </w:numPr>
        <w:spacing w:after="0" w:line="360" w:lineRule="auto"/>
        <w:ind w:left="709" w:hanging="283"/>
        <w:jc w:val="both"/>
        <w:rPr>
          <w:rFonts w:cs="Arial"/>
          <w:sz w:val="22"/>
          <w:szCs w:val="22"/>
        </w:rPr>
      </w:pPr>
      <w:r w:rsidRPr="00317DE2">
        <w:rPr>
          <w:rFonts w:cs="Arial"/>
          <w:sz w:val="22"/>
          <w:szCs w:val="22"/>
        </w:rPr>
        <w:t>udzielanie wsparcia osobom po zakończonym leczeniu odwykowym (np. przez rozmowy podtrzymujące, uruchomienie przy punkcie konsultacyjnym grupy wsparcia dla osób po zakończonym leczeniu w placówce leczenia uzależnienia od alkoholu);</w:t>
      </w:r>
    </w:p>
    <w:p w14:paraId="330883B8" w14:textId="77777777" w:rsidR="001676E4" w:rsidRPr="00317DE2" w:rsidRDefault="001676E4" w:rsidP="001676E4">
      <w:pPr>
        <w:numPr>
          <w:ilvl w:val="0"/>
          <w:numId w:val="9"/>
        </w:numPr>
        <w:spacing w:after="0" w:line="360" w:lineRule="auto"/>
        <w:ind w:left="709" w:hanging="283"/>
        <w:jc w:val="both"/>
        <w:rPr>
          <w:rFonts w:cs="Arial"/>
          <w:sz w:val="22"/>
          <w:szCs w:val="22"/>
        </w:rPr>
      </w:pPr>
      <w:r w:rsidRPr="00317DE2">
        <w:rPr>
          <w:rFonts w:cs="Arial"/>
          <w:sz w:val="22"/>
          <w:szCs w:val="22"/>
        </w:rPr>
        <w:lastRenderedPageBreak/>
        <w:t>rozpoznanie zjawiska przemocy domowej, udzielenie stosownego wsparcia</w:t>
      </w:r>
      <w:r w:rsidRPr="00317DE2">
        <w:rPr>
          <w:rFonts w:cs="Arial"/>
          <w:sz w:val="22"/>
          <w:szCs w:val="22"/>
        </w:rPr>
        <w:br/>
        <w:t>i informacji o możliwościach uzyskania pomocy i powstrzymania przemocy;</w:t>
      </w:r>
    </w:p>
    <w:p w14:paraId="68B1EF9A" w14:textId="77777777" w:rsidR="001676E4" w:rsidRPr="00317DE2" w:rsidRDefault="001676E4" w:rsidP="001676E4">
      <w:pPr>
        <w:numPr>
          <w:ilvl w:val="0"/>
          <w:numId w:val="9"/>
        </w:numPr>
        <w:spacing w:after="0" w:line="360" w:lineRule="auto"/>
        <w:ind w:left="709" w:hanging="283"/>
        <w:jc w:val="both"/>
        <w:rPr>
          <w:rFonts w:cs="Arial"/>
          <w:sz w:val="22"/>
          <w:szCs w:val="22"/>
        </w:rPr>
      </w:pPr>
      <w:r w:rsidRPr="00317DE2">
        <w:rPr>
          <w:rFonts w:cs="Arial"/>
          <w:sz w:val="22"/>
          <w:szCs w:val="22"/>
        </w:rPr>
        <w:t>inicjowanie interwencji w przypadku diagnozy przemocy domowej;</w:t>
      </w:r>
    </w:p>
    <w:p w14:paraId="0D41C4E9" w14:textId="77777777" w:rsidR="001676E4" w:rsidRPr="008D235F" w:rsidRDefault="001676E4" w:rsidP="001676E4">
      <w:pPr>
        <w:numPr>
          <w:ilvl w:val="0"/>
          <w:numId w:val="9"/>
        </w:numPr>
        <w:spacing w:after="0" w:line="360" w:lineRule="auto"/>
        <w:ind w:left="709" w:hanging="283"/>
        <w:jc w:val="both"/>
        <w:rPr>
          <w:rFonts w:cs="Arial"/>
          <w:sz w:val="22"/>
          <w:szCs w:val="22"/>
        </w:rPr>
      </w:pPr>
      <w:r w:rsidRPr="00317DE2">
        <w:rPr>
          <w:rFonts w:cs="Arial"/>
          <w:sz w:val="22"/>
          <w:szCs w:val="22"/>
        </w:rPr>
        <w:t>gromadzenie aktualnych informacji na temat dostępnych miejsc pomocy i kompetencji poszczególnych służb i instytucji z terenu gminy, które powinny być włączone</w:t>
      </w:r>
      <w:r w:rsidRPr="00317DE2">
        <w:rPr>
          <w:rFonts w:cs="Arial"/>
          <w:sz w:val="22"/>
          <w:szCs w:val="22"/>
        </w:rPr>
        <w:br/>
        <w:t>w systemową pomoc dla rodziny</w:t>
      </w:r>
      <w:r w:rsidRPr="00317DE2">
        <w:rPr>
          <w:rFonts w:cs="Arial"/>
          <w:sz w:val="22"/>
          <w:szCs w:val="22"/>
          <w:vertAlign w:val="superscript"/>
        </w:rPr>
        <w:footnoteReference w:id="7"/>
      </w:r>
      <w:r w:rsidRPr="00317DE2">
        <w:rPr>
          <w:rFonts w:cs="Arial"/>
          <w:sz w:val="22"/>
          <w:szCs w:val="22"/>
        </w:rPr>
        <w:t>.</w:t>
      </w:r>
    </w:p>
    <w:p w14:paraId="2F2BC994" w14:textId="06160DFE" w:rsidR="001676E4" w:rsidRPr="0054713D" w:rsidRDefault="001676E4" w:rsidP="001676E4">
      <w:pPr>
        <w:pStyle w:val="Legenda"/>
        <w:keepNext/>
        <w:rPr>
          <w:sz w:val="20"/>
          <w:szCs w:val="16"/>
        </w:rPr>
      </w:pPr>
      <w:bookmarkStart w:id="29" w:name="_Toc214279688"/>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3</w:t>
      </w:r>
      <w:r w:rsidRPr="0054713D">
        <w:rPr>
          <w:sz w:val="20"/>
          <w:szCs w:val="16"/>
        </w:rPr>
        <w:fldChar w:fldCharType="end"/>
      </w:r>
      <w:r w:rsidRPr="0054713D">
        <w:rPr>
          <w:sz w:val="20"/>
          <w:szCs w:val="16"/>
        </w:rPr>
        <w:t xml:space="preserve">. Liczba klientów punktów konsultacyjnych dla osób z problemem alkoholowym w latach </w:t>
      </w:r>
      <w:r w:rsidR="003D7A5B">
        <w:rPr>
          <w:sz w:val="20"/>
          <w:szCs w:val="16"/>
        </w:rPr>
        <w:t>2021-</w:t>
      </w:r>
      <w:r w:rsidRPr="0054713D">
        <w:rPr>
          <w:sz w:val="20"/>
          <w:szCs w:val="16"/>
        </w:rPr>
        <w:t>2023 w województwie lubelskim</w:t>
      </w:r>
      <w:bookmarkEnd w:id="29"/>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7"/>
        <w:gridCol w:w="1517"/>
        <w:gridCol w:w="1517"/>
        <w:gridCol w:w="1517"/>
        <w:gridCol w:w="1517"/>
      </w:tblGrid>
      <w:tr w:rsidR="001676E4" w:rsidRPr="00B945F0" w14:paraId="29C1D718" w14:textId="77777777" w:rsidTr="003D66E5">
        <w:trPr>
          <w:trHeight w:val="918"/>
          <w:tblHeader/>
        </w:trPr>
        <w:tc>
          <w:tcPr>
            <w:tcW w:w="4550" w:type="dxa"/>
            <w:gridSpan w:val="3"/>
            <w:vAlign w:val="center"/>
          </w:tcPr>
          <w:p w14:paraId="3DE10FAD" w14:textId="77777777" w:rsidR="001676E4" w:rsidRPr="00B945F0" w:rsidRDefault="001676E4" w:rsidP="003D66E5">
            <w:pPr>
              <w:spacing w:after="0" w:line="240" w:lineRule="auto"/>
              <w:jc w:val="center"/>
              <w:rPr>
                <w:rFonts w:cs="Arial"/>
                <w:b/>
                <w:bCs/>
              </w:rPr>
            </w:pPr>
            <w:r w:rsidRPr="00B945F0">
              <w:rPr>
                <w:rFonts w:cs="Arial"/>
                <w:b/>
                <w:bCs/>
              </w:rPr>
              <w:t>Osoby z problemem alkoholowym</w:t>
            </w:r>
          </w:p>
        </w:tc>
        <w:tc>
          <w:tcPr>
            <w:tcW w:w="4551" w:type="dxa"/>
            <w:gridSpan w:val="3"/>
            <w:vAlign w:val="center"/>
          </w:tcPr>
          <w:p w14:paraId="7E2342AD" w14:textId="77777777" w:rsidR="001676E4" w:rsidRPr="00B945F0" w:rsidRDefault="001676E4" w:rsidP="003D66E5">
            <w:pPr>
              <w:spacing w:after="0" w:line="240" w:lineRule="auto"/>
              <w:jc w:val="center"/>
              <w:rPr>
                <w:rFonts w:cs="Arial"/>
                <w:b/>
                <w:bCs/>
              </w:rPr>
            </w:pPr>
            <w:r w:rsidRPr="00B945F0">
              <w:rPr>
                <w:rFonts w:cs="Arial"/>
                <w:b/>
                <w:bCs/>
              </w:rPr>
              <w:t xml:space="preserve">Dorośli członkowie rodzin osoby </w:t>
            </w:r>
            <w:r w:rsidRPr="00B945F0">
              <w:rPr>
                <w:rFonts w:cs="Arial"/>
                <w:b/>
                <w:bCs/>
              </w:rPr>
              <w:br/>
              <w:t>z problemem alkoholowym</w:t>
            </w:r>
            <w:r w:rsidRPr="00B945F0">
              <w:rPr>
                <w:rFonts w:cs="Arial"/>
                <w:b/>
                <w:bCs/>
              </w:rPr>
              <w:br/>
              <w:t>(w tym współuzależnieni i DDA)</w:t>
            </w:r>
          </w:p>
        </w:tc>
      </w:tr>
      <w:tr w:rsidR="001676E4" w:rsidRPr="00B945F0" w14:paraId="3AC3C429" w14:textId="77777777" w:rsidTr="003D66E5">
        <w:trPr>
          <w:trHeight w:val="407"/>
          <w:tblHeader/>
        </w:trPr>
        <w:tc>
          <w:tcPr>
            <w:tcW w:w="1516" w:type="dxa"/>
            <w:vAlign w:val="center"/>
          </w:tcPr>
          <w:p w14:paraId="0C656B18" w14:textId="77777777" w:rsidR="001676E4" w:rsidRPr="00B945F0" w:rsidRDefault="001676E4" w:rsidP="003D66E5">
            <w:pPr>
              <w:spacing w:after="0" w:line="360" w:lineRule="auto"/>
              <w:jc w:val="center"/>
              <w:rPr>
                <w:rFonts w:cs="Arial"/>
                <w:b/>
                <w:bCs/>
              </w:rPr>
            </w:pPr>
            <w:r w:rsidRPr="00B945F0">
              <w:rPr>
                <w:rFonts w:cs="Arial"/>
                <w:b/>
                <w:bCs/>
              </w:rPr>
              <w:t>2021</w:t>
            </w:r>
          </w:p>
        </w:tc>
        <w:tc>
          <w:tcPr>
            <w:tcW w:w="1517" w:type="dxa"/>
            <w:vAlign w:val="center"/>
          </w:tcPr>
          <w:p w14:paraId="29CA341D" w14:textId="77777777" w:rsidR="001676E4" w:rsidRPr="00B945F0" w:rsidRDefault="001676E4" w:rsidP="003D66E5">
            <w:pPr>
              <w:spacing w:after="0" w:line="360" w:lineRule="auto"/>
              <w:jc w:val="center"/>
              <w:rPr>
                <w:rFonts w:cs="Arial"/>
                <w:b/>
                <w:bCs/>
              </w:rPr>
            </w:pPr>
            <w:r w:rsidRPr="00B945F0">
              <w:rPr>
                <w:rFonts w:cs="Arial"/>
                <w:b/>
                <w:bCs/>
              </w:rPr>
              <w:t>2022</w:t>
            </w:r>
          </w:p>
        </w:tc>
        <w:tc>
          <w:tcPr>
            <w:tcW w:w="1517" w:type="dxa"/>
            <w:vAlign w:val="center"/>
          </w:tcPr>
          <w:p w14:paraId="4D3DFF72" w14:textId="77777777" w:rsidR="001676E4" w:rsidRPr="00B945F0" w:rsidRDefault="001676E4" w:rsidP="003D66E5">
            <w:pPr>
              <w:spacing w:after="0" w:line="360" w:lineRule="auto"/>
              <w:jc w:val="center"/>
              <w:rPr>
                <w:rFonts w:cs="Arial"/>
                <w:b/>
                <w:bCs/>
              </w:rPr>
            </w:pPr>
            <w:r w:rsidRPr="00B945F0">
              <w:rPr>
                <w:rFonts w:cs="Arial"/>
                <w:b/>
                <w:bCs/>
              </w:rPr>
              <w:t>2023</w:t>
            </w:r>
          </w:p>
        </w:tc>
        <w:tc>
          <w:tcPr>
            <w:tcW w:w="1517" w:type="dxa"/>
            <w:vAlign w:val="center"/>
          </w:tcPr>
          <w:p w14:paraId="5E7D9A1E" w14:textId="77777777" w:rsidR="001676E4" w:rsidRPr="00B945F0" w:rsidRDefault="001676E4" w:rsidP="003D66E5">
            <w:pPr>
              <w:spacing w:after="0" w:line="360" w:lineRule="auto"/>
              <w:jc w:val="center"/>
              <w:rPr>
                <w:rFonts w:cs="Arial"/>
                <w:b/>
                <w:bCs/>
              </w:rPr>
            </w:pPr>
            <w:r w:rsidRPr="00B945F0">
              <w:rPr>
                <w:rFonts w:cs="Arial"/>
                <w:b/>
                <w:bCs/>
              </w:rPr>
              <w:t>2021</w:t>
            </w:r>
          </w:p>
        </w:tc>
        <w:tc>
          <w:tcPr>
            <w:tcW w:w="1517" w:type="dxa"/>
            <w:vAlign w:val="center"/>
          </w:tcPr>
          <w:p w14:paraId="138E6BB5" w14:textId="77777777" w:rsidR="001676E4" w:rsidRPr="00B945F0" w:rsidRDefault="001676E4" w:rsidP="003D66E5">
            <w:pPr>
              <w:spacing w:after="0" w:line="360" w:lineRule="auto"/>
              <w:jc w:val="center"/>
              <w:rPr>
                <w:rFonts w:cs="Arial"/>
                <w:b/>
                <w:bCs/>
              </w:rPr>
            </w:pPr>
            <w:r w:rsidRPr="00B945F0">
              <w:rPr>
                <w:rFonts w:cs="Arial"/>
                <w:b/>
                <w:bCs/>
              </w:rPr>
              <w:t>2022</w:t>
            </w:r>
          </w:p>
        </w:tc>
        <w:tc>
          <w:tcPr>
            <w:tcW w:w="1517" w:type="dxa"/>
            <w:vAlign w:val="center"/>
          </w:tcPr>
          <w:p w14:paraId="59C6CD6D" w14:textId="77777777" w:rsidR="001676E4" w:rsidRPr="00B945F0" w:rsidRDefault="001676E4" w:rsidP="003D66E5">
            <w:pPr>
              <w:spacing w:after="0" w:line="360" w:lineRule="auto"/>
              <w:jc w:val="center"/>
              <w:rPr>
                <w:rFonts w:cs="Arial"/>
                <w:b/>
                <w:bCs/>
              </w:rPr>
            </w:pPr>
            <w:r w:rsidRPr="00B945F0">
              <w:rPr>
                <w:rFonts w:cs="Arial"/>
                <w:b/>
                <w:bCs/>
              </w:rPr>
              <w:t>2023</w:t>
            </w:r>
          </w:p>
        </w:tc>
      </w:tr>
      <w:tr w:rsidR="001676E4" w:rsidRPr="00B945F0" w14:paraId="2623AA65" w14:textId="77777777" w:rsidTr="003D66E5">
        <w:trPr>
          <w:trHeight w:val="566"/>
        </w:trPr>
        <w:tc>
          <w:tcPr>
            <w:tcW w:w="1516" w:type="dxa"/>
            <w:vAlign w:val="center"/>
          </w:tcPr>
          <w:p w14:paraId="03493283" w14:textId="77777777" w:rsidR="001676E4" w:rsidRPr="00B945F0" w:rsidRDefault="001676E4" w:rsidP="003D66E5">
            <w:pPr>
              <w:spacing w:after="0" w:line="360" w:lineRule="auto"/>
              <w:jc w:val="center"/>
              <w:rPr>
                <w:rFonts w:cs="Arial"/>
              </w:rPr>
            </w:pPr>
            <w:r w:rsidRPr="00B945F0">
              <w:rPr>
                <w:rFonts w:cs="Arial"/>
              </w:rPr>
              <w:t>5 125</w:t>
            </w:r>
          </w:p>
        </w:tc>
        <w:tc>
          <w:tcPr>
            <w:tcW w:w="1517" w:type="dxa"/>
            <w:vAlign w:val="center"/>
          </w:tcPr>
          <w:p w14:paraId="2A23885C" w14:textId="77777777" w:rsidR="001676E4" w:rsidRPr="00B945F0" w:rsidRDefault="001676E4" w:rsidP="003D66E5">
            <w:pPr>
              <w:spacing w:after="0" w:line="360" w:lineRule="auto"/>
              <w:jc w:val="center"/>
              <w:rPr>
                <w:rFonts w:cs="Arial"/>
              </w:rPr>
            </w:pPr>
            <w:r w:rsidRPr="00B945F0">
              <w:rPr>
                <w:rFonts w:cs="Arial"/>
              </w:rPr>
              <w:t>5 687</w:t>
            </w:r>
          </w:p>
        </w:tc>
        <w:tc>
          <w:tcPr>
            <w:tcW w:w="1517" w:type="dxa"/>
            <w:vAlign w:val="center"/>
          </w:tcPr>
          <w:p w14:paraId="3032F0D1" w14:textId="77777777" w:rsidR="001676E4" w:rsidRPr="00B945F0" w:rsidRDefault="001676E4" w:rsidP="003D66E5">
            <w:pPr>
              <w:spacing w:after="0" w:line="360" w:lineRule="auto"/>
              <w:jc w:val="center"/>
              <w:rPr>
                <w:rFonts w:cs="Arial"/>
              </w:rPr>
            </w:pPr>
            <w:r w:rsidRPr="00B945F0">
              <w:rPr>
                <w:rFonts w:cs="Arial"/>
              </w:rPr>
              <w:t>5 200</w:t>
            </w:r>
          </w:p>
        </w:tc>
        <w:tc>
          <w:tcPr>
            <w:tcW w:w="1517" w:type="dxa"/>
            <w:vAlign w:val="center"/>
          </w:tcPr>
          <w:p w14:paraId="2D4D3FAB" w14:textId="77777777" w:rsidR="001676E4" w:rsidRPr="00B945F0" w:rsidRDefault="001676E4" w:rsidP="003D66E5">
            <w:pPr>
              <w:spacing w:after="0" w:line="360" w:lineRule="auto"/>
              <w:jc w:val="center"/>
              <w:rPr>
                <w:rFonts w:cs="Arial"/>
              </w:rPr>
            </w:pPr>
            <w:r w:rsidRPr="00B945F0">
              <w:rPr>
                <w:rFonts w:cs="Arial"/>
              </w:rPr>
              <w:t>2 666</w:t>
            </w:r>
          </w:p>
        </w:tc>
        <w:tc>
          <w:tcPr>
            <w:tcW w:w="1517" w:type="dxa"/>
            <w:vAlign w:val="center"/>
          </w:tcPr>
          <w:p w14:paraId="07905060" w14:textId="77777777" w:rsidR="001676E4" w:rsidRPr="00B945F0" w:rsidRDefault="001676E4" w:rsidP="003D66E5">
            <w:pPr>
              <w:spacing w:after="0" w:line="360" w:lineRule="auto"/>
              <w:jc w:val="center"/>
              <w:rPr>
                <w:rFonts w:cs="Arial"/>
              </w:rPr>
            </w:pPr>
            <w:r w:rsidRPr="00B945F0">
              <w:rPr>
                <w:rFonts w:cs="Arial"/>
              </w:rPr>
              <w:t>2 648</w:t>
            </w:r>
          </w:p>
        </w:tc>
        <w:tc>
          <w:tcPr>
            <w:tcW w:w="1517" w:type="dxa"/>
            <w:vAlign w:val="center"/>
          </w:tcPr>
          <w:p w14:paraId="466830C4" w14:textId="77777777" w:rsidR="001676E4" w:rsidRPr="00B945F0" w:rsidRDefault="001676E4" w:rsidP="003D66E5">
            <w:pPr>
              <w:spacing w:after="0" w:line="360" w:lineRule="auto"/>
              <w:jc w:val="center"/>
              <w:rPr>
                <w:rFonts w:cs="Arial"/>
              </w:rPr>
            </w:pPr>
            <w:r w:rsidRPr="00B945F0">
              <w:rPr>
                <w:rFonts w:cs="Arial"/>
              </w:rPr>
              <w:t>2 276</w:t>
            </w:r>
          </w:p>
        </w:tc>
      </w:tr>
    </w:tbl>
    <w:p w14:paraId="414C9A57" w14:textId="77777777" w:rsidR="001676E4" w:rsidRPr="008D235F" w:rsidRDefault="001676E4" w:rsidP="001676E4">
      <w:pPr>
        <w:tabs>
          <w:tab w:val="left" w:pos="8789"/>
        </w:tabs>
        <w:spacing w:after="240" w:line="240" w:lineRule="auto"/>
        <w:ind w:right="1"/>
        <w:jc w:val="both"/>
        <w:rPr>
          <w:rFonts w:cs="Arial"/>
          <w:iCs/>
          <w:sz w:val="18"/>
          <w:szCs w:val="18"/>
        </w:rPr>
      </w:pPr>
      <w:r w:rsidRPr="008D235F">
        <w:rPr>
          <w:rFonts w:cs="Arial"/>
          <w:sz w:val="18"/>
          <w:szCs w:val="18"/>
        </w:rPr>
        <w:t xml:space="preserve">Źródło: Opracowanie własne na podstawie </w:t>
      </w:r>
      <w:r w:rsidRPr="008D235F">
        <w:rPr>
          <w:rFonts w:cs="Arial"/>
          <w:iCs/>
          <w:sz w:val="18"/>
          <w:szCs w:val="18"/>
        </w:rPr>
        <w:t>Raportu z badania społecznego „</w:t>
      </w:r>
      <w:r w:rsidRPr="008D235F">
        <w:rPr>
          <w:rFonts w:cs="Arial"/>
          <w:i/>
          <w:sz w:val="18"/>
          <w:szCs w:val="18"/>
        </w:rPr>
        <w:t>Diagnoza województwa lubelskiego w zakresie używania substancji psychoaktywnych wśród osób dorosłych oraz dostępności oferty pomocowej w obszarze przeciwdziałania uzależnieniu od substancji psychoaktywnych</w:t>
      </w:r>
      <w:r w:rsidRPr="008D235F">
        <w:rPr>
          <w:rFonts w:cs="Arial"/>
          <w:iCs/>
          <w:sz w:val="18"/>
          <w:szCs w:val="18"/>
        </w:rPr>
        <w:t>”</w:t>
      </w:r>
    </w:p>
    <w:p w14:paraId="32C9D78B" w14:textId="77777777" w:rsidR="001676E4" w:rsidRPr="00317DE2" w:rsidRDefault="001676E4" w:rsidP="001676E4">
      <w:pPr>
        <w:tabs>
          <w:tab w:val="left" w:pos="426"/>
        </w:tabs>
        <w:spacing w:after="0" w:line="360" w:lineRule="auto"/>
        <w:jc w:val="both"/>
        <w:rPr>
          <w:rFonts w:cs="Arial"/>
          <w:iCs/>
          <w:sz w:val="22"/>
          <w:szCs w:val="22"/>
        </w:rPr>
      </w:pPr>
      <w:r w:rsidRPr="00317DE2">
        <w:rPr>
          <w:rFonts w:cs="Arial"/>
          <w:iCs/>
          <w:sz w:val="22"/>
          <w:szCs w:val="22"/>
        </w:rPr>
        <w:tab/>
        <w:t>Jeśli chodzi o działania służące zwiększeniu dostępności pomocy terapeutycznej</w:t>
      </w:r>
      <w:r w:rsidRPr="00317DE2">
        <w:rPr>
          <w:rFonts w:cs="Arial"/>
          <w:iCs/>
          <w:sz w:val="22"/>
          <w:szCs w:val="22"/>
        </w:rPr>
        <w:br/>
        <w:t>i rehabilitacyjnej dla osób uzależnionych od alkoholu i współuzależnionych, znikoma liczba gmin województwa lubelskiego finansowała programy zdrowotne w placówkach leczenia uzależnienia od alkoholu.</w:t>
      </w:r>
    </w:p>
    <w:p w14:paraId="045EC478" w14:textId="77777777" w:rsidR="001676E4" w:rsidRPr="00317DE2" w:rsidRDefault="001676E4" w:rsidP="00A43860">
      <w:pPr>
        <w:pStyle w:val="Nagwek3"/>
      </w:pPr>
      <w:r w:rsidRPr="00317DE2">
        <w:t>Świadczenia pomocy społecznej</w:t>
      </w:r>
    </w:p>
    <w:p w14:paraId="42A3E252" w14:textId="388827D5" w:rsidR="001676E4" w:rsidRPr="00317DE2" w:rsidRDefault="001676E4" w:rsidP="001676E4">
      <w:pPr>
        <w:tabs>
          <w:tab w:val="left" w:pos="426"/>
        </w:tabs>
        <w:spacing w:after="0" w:line="360" w:lineRule="auto"/>
        <w:ind w:firstLine="425"/>
        <w:jc w:val="both"/>
        <w:rPr>
          <w:rFonts w:cs="Arial"/>
          <w:sz w:val="22"/>
          <w:szCs w:val="22"/>
        </w:rPr>
      </w:pPr>
      <w:r w:rsidRPr="00317DE2">
        <w:rPr>
          <w:rFonts w:cs="Arial"/>
          <w:sz w:val="22"/>
          <w:szCs w:val="22"/>
        </w:rPr>
        <w:t xml:space="preserve">Dokonując analizy danych w zakresie liczby rodzin, w </w:t>
      </w:r>
      <w:r w:rsidRPr="00317DE2">
        <w:rPr>
          <w:rFonts w:cs="Arial"/>
          <w:color w:val="000000"/>
          <w:sz w:val="22"/>
          <w:szCs w:val="22"/>
        </w:rPr>
        <w:t xml:space="preserve">których </w:t>
      </w:r>
      <w:r w:rsidRPr="00317DE2">
        <w:rPr>
          <w:rFonts w:cs="Arial"/>
          <w:sz w:val="22"/>
          <w:szCs w:val="22"/>
        </w:rPr>
        <w:t>występuje problem alkoholowy, korzystających z pomocy społecznej, zawartych w Ocenie Zasobów Pomocy Społecznej, można zauważyć, że od 20</w:t>
      </w:r>
      <w:r w:rsidR="00C7010E">
        <w:rPr>
          <w:rFonts w:cs="Arial"/>
          <w:sz w:val="22"/>
          <w:szCs w:val="22"/>
        </w:rPr>
        <w:t>20</w:t>
      </w:r>
      <w:r w:rsidRPr="00317DE2">
        <w:rPr>
          <w:rFonts w:cs="Arial"/>
          <w:sz w:val="22"/>
          <w:szCs w:val="22"/>
        </w:rPr>
        <w:t xml:space="preserve"> do 2024 roku utrzymywała się tendencja spadkowa. Poniżej zaprezentowano szczegółowe dane:</w:t>
      </w:r>
    </w:p>
    <w:p w14:paraId="0BA198ED" w14:textId="77777777" w:rsidR="001676E4" w:rsidRPr="00317DE2" w:rsidRDefault="001676E4" w:rsidP="001676E4">
      <w:pPr>
        <w:numPr>
          <w:ilvl w:val="0"/>
          <w:numId w:val="1"/>
        </w:numPr>
        <w:spacing w:after="0" w:line="360" w:lineRule="auto"/>
        <w:jc w:val="both"/>
        <w:rPr>
          <w:rFonts w:cs="Arial"/>
          <w:color w:val="000000"/>
          <w:sz w:val="22"/>
          <w:szCs w:val="22"/>
        </w:rPr>
      </w:pPr>
      <w:r w:rsidRPr="00317DE2">
        <w:rPr>
          <w:rFonts w:cs="Arial"/>
          <w:color w:val="000000"/>
          <w:sz w:val="22"/>
          <w:szCs w:val="22"/>
        </w:rPr>
        <w:t>2020 r. – 3 795 rodzin</w:t>
      </w:r>
    </w:p>
    <w:p w14:paraId="517484B4" w14:textId="77777777" w:rsidR="001676E4" w:rsidRPr="00317DE2" w:rsidRDefault="001676E4" w:rsidP="001676E4">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2021 r. – 3 576 rodzin</w:t>
      </w:r>
    </w:p>
    <w:p w14:paraId="7E13C79A" w14:textId="77777777" w:rsidR="001676E4" w:rsidRPr="00317DE2" w:rsidRDefault="001676E4" w:rsidP="001676E4">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2022 r. – 3 143 rodziny</w:t>
      </w:r>
    </w:p>
    <w:p w14:paraId="57DD5375" w14:textId="77777777" w:rsidR="001676E4" w:rsidRPr="00317DE2" w:rsidRDefault="001676E4" w:rsidP="001676E4">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2023 r. – 3 171 rodzin</w:t>
      </w:r>
    </w:p>
    <w:p w14:paraId="60D79ABA" w14:textId="77777777" w:rsidR="001676E4" w:rsidRPr="00317DE2" w:rsidRDefault="001676E4" w:rsidP="001676E4">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2024 r. – 2 991 rodzin</w:t>
      </w:r>
      <w:r w:rsidRPr="00317DE2">
        <w:rPr>
          <w:rFonts w:cs="Arial"/>
          <w:color w:val="000000"/>
          <w:sz w:val="22"/>
          <w:szCs w:val="22"/>
          <w:vertAlign w:val="superscript"/>
        </w:rPr>
        <w:footnoteReference w:id="8"/>
      </w:r>
      <w:r w:rsidRPr="00317DE2">
        <w:rPr>
          <w:rFonts w:cs="Arial"/>
          <w:color w:val="000000"/>
          <w:sz w:val="22"/>
          <w:szCs w:val="22"/>
        </w:rPr>
        <w:t>.</w:t>
      </w:r>
    </w:p>
    <w:p w14:paraId="4A57A8A3" w14:textId="77777777" w:rsidR="001676E4" w:rsidRPr="00317DE2" w:rsidRDefault="001676E4" w:rsidP="00A43860">
      <w:pPr>
        <w:pStyle w:val="Nagwek3"/>
      </w:pPr>
      <w:r w:rsidRPr="00317DE2">
        <w:lastRenderedPageBreak/>
        <w:t>Grupy pomocowe i samopomocowe</w:t>
      </w:r>
    </w:p>
    <w:p w14:paraId="1FED519B" w14:textId="2BADC43F" w:rsidR="001676E4" w:rsidRPr="00317DE2" w:rsidRDefault="001676E4" w:rsidP="001676E4">
      <w:pPr>
        <w:tabs>
          <w:tab w:val="left" w:pos="426"/>
        </w:tabs>
        <w:spacing w:after="0" w:line="360" w:lineRule="auto"/>
        <w:ind w:firstLine="425"/>
        <w:jc w:val="both"/>
        <w:rPr>
          <w:rFonts w:cs="Arial"/>
          <w:sz w:val="22"/>
          <w:szCs w:val="22"/>
        </w:rPr>
      </w:pPr>
      <w:r w:rsidRPr="00317DE2">
        <w:rPr>
          <w:rFonts w:cs="Arial"/>
          <w:sz w:val="22"/>
          <w:szCs w:val="22"/>
        </w:rPr>
        <w:t xml:space="preserve">Grupy pomocowe i samopomocowe są jedną z najbardziej skutecznych form pomocy dla osób uzależnionych stanowiąc emocjonalne wsparcie, umożliwiające wymianę doświadczeń </w:t>
      </w:r>
      <w:r w:rsidRPr="00317DE2">
        <w:rPr>
          <w:rFonts w:cs="Arial"/>
          <w:sz w:val="22"/>
          <w:szCs w:val="22"/>
        </w:rPr>
        <w:br/>
        <w:t>i</w:t>
      </w:r>
      <w:r>
        <w:rPr>
          <w:rFonts w:cs="Arial"/>
          <w:sz w:val="22"/>
          <w:szCs w:val="22"/>
        </w:rPr>
        <w:t xml:space="preserve"> </w:t>
      </w:r>
      <w:r w:rsidRPr="00317DE2">
        <w:rPr>
          <w:rFonts w:cs="Arial"/>
          <w:sz w:val="22"/>
          <w:szCs w:val="22"/>
        </w:rPr>
        <w:t>propagujące wiedzę w zakresie problematyki uzależnień. Najlepsze efekty terapeutyczne są możliwe do osiągnięcia poprzez integrację profesjonalnych oddziaływań z elementami praktycznych doświadczeń i ide</w:t>
      </w:r>
      <w:r w:rsidR="003D7A5B">
        <w:rPr>
          <w:rFonts w:cs="Arial"/>
          <w:sz w:val="22"/>
          <w:szCs w:val="22"/>
        </w:rPr>
        <w:t>ę</w:t>
      </w:r>
      <w:r w:rsidRPr="00317DE2">
        <w:rPr>
          <w:rFonts w:cs="Arial"/>
          <w:sz w:val="22"/>
          <w:szCs w:val="22"/>
        </w:rPr>
        <w:t xml:space="preserve"> samopomocy. Wśród nich wymienić można: stowarzyszenia abstynenckie, kluby abstynenckie, grupy AA, grupy AL-ANON, grupy AL-ATEEN, grupy dla dorosłych dzieci alkoholików (DDA). Profesjonalna pomoc dla takich osób może odbywać się w różnych formach (w zależności od sytuacji i indywidualnych potrzeb), np. w formie edukacji, poradnictwa, interwencji kryzysowej, pomocy psychologicznej w rozwoju osobistym, motywowania do podjęcia psychoterapii oraz psychoterapii samej w sobie</w:t>
      </w:r>
      <w:r w:rsidRPr="00317DE2">
        <w:rPr>
          <w:rStyle w:val="Odwoanieprzypisudolnego"/>
          <w:rFonts w:cs="Arial"/>
          <w:sz w:val="22"/>
          <w:szCs w:val="22"/>
        </w:rPr>
        <w:footnoteReference w:id="9"/>
      </w:r>
      <w:r w:rsidRPr="00317DE2">
        <w:rPr>
          <w:rFonts w:cs="Arial"/>
          <w:sz w:val="22"/>
          <w:szCs w:val="22"/>
        </w:rPr>
        <w:t>.</w:t>
      </w:r>
    </w:p>
    <w:p w14:paraId="6E60595C" w14:textId="77777777" w:rsidR="001676E4" w:rsidRPr="00317DE2" w:rsidRDefault="001676E4" w:rsidP="00A43860">
      <w:pPr>
        <w:pStyle w:val="Nagwek3"/>
      </w:pPr>
      <w:r w:rsidRPr="00317DE2">
        <w:t>Centra integracji społecznej</w:t>
      </w:r>
    </w:p>
    <w:p w14:paraId="01510527" w14:textId="0F9A7730"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ab/>
        <w:t>Przykładem wdrożenia koncepcji aktywnej polityki społecznej opartej na zmianie podejścia do kolejności uzyskiwania przez niektóre grupy dysfunkcyjne wsparcia i pomocy państwa jest organizowanie i finansowanie centrów integracji społecznej. Wspieranie zatrudnienia socjalnego w tej formie zapewnia kompleksowe usługi z zakresu reintegracji społecznej i</w:t>
      </w:r>
      <w:r>
        <w:rPr>
          <w:rFonts w:cs="Arial"/>
          <w:sz w:val="22"/>
          <w:szCs w:val="22"/>
        </w:rPr>
        <w:t> </w:t>
      </w:r>
      <w:r w:rsidRPr="00317DE2">
        <w:rPr>
          <w:rFonts w:cs="Arial"/>
          <w:sz w:val="22"/>
          <w:szCs w:val="22"/>
        </w:rPr>
        <w:t>zawodowej. Współpraca z powiatowymi urzędami pracy, ośrodkami pomocy społecznej, poradniami leczenia uzależnień i podmiotami biznesowymi umożliwia zbudowanie kompleksowego i skutecznego planu reintegracji społecznej i zawodowej osoby, która tego potrzebuje</w:t>
      </w:r>
      <w:r w:rsidRPr="00317DE2">
        <w:rPr>
          <w:rStyle w:val="Odwoanieprzypisudolnego"/>
          <w:rFonts w:cs="Arial"/>
          <w:sz w:val="22"/>
          <w:szCs w:val="22"/>
        </w:rPr>
        <w:footnoteReference w:id="10"/>
      </w:r>
      <w:r w:rsidRPr="00317DE2">
        <w:rPr>
          <w:rFonts w:cs="Arial"/>
          <w:sz w:val="22"/>
          <w:szCs w:val="22"/>
        </w:rPr>
        <w:t>.</w:t>
      </w:r>
      <w:r w:rsidR="003D7A5B">
        <w:rPr>
          <w:rFonts w:cs="Arial"/>
          <w:sz w:val="22"/>
          <w:szCs w:val="22"/>
        </w:rPr>
        <w:t xml:space="preserve"> </w:t>
      </w:r>
      <w:r w:rsidRPr="00317DE2">
        <w:rPr>
          <w:rFonts w:cs="Arial"/>
          <w:sz w:val="22"/>
          <w:szCs w:val="22"/>
        </w:rPr>
        <w:t>W 2025 roku centra integracji społecznej funkcjonowały w następujących gminach: Lublin, Świdnik, Krasnystaw</w:t>
      </w:r>
      <w:r w:rsidR="002C6CA5">
        <w:rPr>
          <w:rFonts w:cs="Arial"/>
          <w:sz w:val="22"/>
          <w:szCs w:val="22"/>
        </w:rPr>
        <w:t xml:space="preserve"> (2)</w:t>
      </w:r>
      <w:r w:rsidRPr="00317DE2">
        <w:rPr>
          <w:rFonts w:cs="Arial"/>
          <w:sz w:val="22"/>
          <w:szCs w:val="22"/>
        </w:rPr>
        <w:t>, Chełm, Zamość, Hrubieszów, Biała Podlaska, Nielisz, Komarów-Osada, Adamów</w:t>
      </w:r>
      <w:r w:rsidRPr="00317DE2">
        <w:rPr>
          <w:rStyle w:val="Odwoanieprzypisudolnego"/>
          <w:rFonts w:cs="Arial"/>
          <w:sz w:val="22"/>
          <w:szCs w:val="22"/>
        </w:rPr>
        <w:footnoteReference w:id="11"/>
      </w:r>
      <w:r w:rsidRPr="00317DE2">
        <w:rPr>
          <w:rFonts w:cs="Arial"/>
          <w:sz w:val="22"/>
          <w:szCs w:val="22"/>
        </w:rPr>
        <w:t>.</w:t>
      </w:r>
      <w:r>
        <w:rPr>
          <w:rFonts w:cs="Arial"/>
          <w:sz w:val="22"/>
          <w:szCs w:val="22"/>
        </w:rPr>
        <w:t xml:space="preserve"> </w:t>
      </w:r>
      <w:r w:rsidRPr="00317DE2">
        <w:rPr>
          <w:rFonts w:cs="Arial"/>
          <w:sz w:val="22"/>
          <w:szCs w:val="22"/>
        </w:rPr>
        <w:t>Wśród uczestników znajdowały się osoby uzależnione od alkoholu po zakończeniu leczenia odwykowego.</w:t>
      </w:r>
    </w:p>
    <w:p w14:paraId="1C3F5DD8"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 xml:space="preserve">W latach 2023-2024 Samorząd Województwa Lubelskiego przeznaczył dotację na  utworzenie nowych pracowni w istniejących już Centrach Integracji Społecznej tj. </w:t>
      </w:r>
    </w:p>
    <w:p w14:paraId="45FFF58C"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 CIS Mieniany,</w:t>
      </w:r>
    </w:p>
    <w:p w14:paraId="077BC52E"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 CIS Świdnik,</w:t>
      </w:r>
    </w:p>
    <w:p w14:paraId="32483241"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 C</w:t>
      </w:r>
      <w:r>
        <w:rPr>
          <w:rFonts w:cs="Arial"/>
          <w:sz w:val="22"/>
          <w:szCs w:val="22"/>
        </w:rPr>
        <w:t>I</w:t>
      </w:r>
      <w:r w:rsidRPr="00317DE2">
        <w:rPr>
          <w:rFonts w:cs="Arial"/>
          <w:sz w:val="22"/>
          <w:szCs w:val="22"/>
        </w:rPr>
        <w:t>S Komarów Osada</w:t>
      </w:r>
      <w:r>
        <w:rPr>
          <w:rFonts w:cs="Arial"/>
          <w:sz w:val="22"/>
          <w:szCs w:val="22"/>
        </w:rPr>
        <w:t>.</w:t>
      </w:r>
    </w:p>
    <w:p w14:paraId="16BCB877" w14:textId="77777777" w:rsidR="001676E4" w:rsidRPr="00317DE2" w:rsidRDefault="001676E4" w:rsidP="00B11CBB">
      <w:pPr>
        <w:pStyle w:val="Nagwek2"/>
      </w:pPr>
      <w:r w:rsidRPr="00317DE2">
        <w:lastRenderedPageBreak/>
        <w:t>Profilaktyka dzieci i młodzieży</w:t>
      </w:r>
    </w:p>
    <w:p w14:paraId="60FD6054" w14:textId="77777777" w:rsidR="001676E4" w:rsidRPr="00D90AAF" w:rsidRDefault="001676E4" w:rsidP="001676E4">
      <w:pPr>
        <w:tabs>
          <w:tab w:val="left" w:pos="426"/>
        </w:tabs>
        <w:spacing w:after="0" w:line="360" w:lineRule="auto"/>
        <w:ind w:firstLine="360"/>
        <w:jc w:val="both"/>
        <w:rPr>
          <w:rFonts w:cs="Arial"/>
          <w:bCs/>
          <w:sz w:val="22"/>
          <w:szCs w:val="22"/>
        </w:rPr>
      </w:pPr>
      <w:r w:rsidRPr="00317DE2">
        <w:rPr>
          <w:rFonts w:cs="Arial"/>
          <w:bCs/>
          <w:sz w:val="22"/>
          <w:szCs w:val="22"/>
        </w:rPr>
        <w:tab/>
        <w:t xml:space="preserve">Istnieją dowody naukowe wskazujące na konieczność wdrożenia profilaktyki w jak </w:t>
      </w:r>
      <w:r w:rsidRPr="00D90AAF">
        <w:rPr>
          <w:rFonts w:cs="Arial"/>
          <w:bCs/>
          <w:sz w:val="22"/>
          <w:szCs w:val="22"/>
        </w:rPr>
        <w:t>najmłodszym wieku. Praca z rodzinami małych dzieci i wspieranie rozwoju dzieci w wieku przedszkolnym z grup podwyższonego ryzyka znacznie ogranicza możliwość rozwoju problemów wynikających z używania substancji psychoaktywnych, w tym alkoholu oraz pozytywnie wpływa na dalszy prawidłowy rozwój dziecka. Wobec tego należy budować system lokalnych strategii i programów w sposób systemowy. Pod uwagę należy wziąć również takie czynniki, jak: dostępność alkoholu (liczba punktów), przestrzeganie zakazu sprzedaży alkoholu nieletnim, szukanie sposobów rozwiązywania problemów dla różnych grup wiekowych ze zwróceniem uwagi na budowanie normy na abstynencję czy też naukę kontroli nad piciem w</w:t>
      </w:r>
      <w:r>
        <w:rPr>
          <w:rFonts w:cs="Arial"/>
          <w:bCs/>
          <w:sz w:val="22"/>
          <w:szCs w:val="22"/>
        </w:rPr>
        <w:t> </w:t>
      </w:r>
      <w:r w:rsidRPr="00D90AAF">
        <w:rPr>
          <w:rFonts w:cs="Arial"/>
          <w:bCs/>
          <w:sz w:val="22"/>
          <w:szCs w:val="22"/>
        </w:rPr>
        <w:t>przypadku dorosłych</w:t>
      </w:r>
      <w:r w:rsidRPr="00D90AAF">
        <w:rPr>
          <w:rStyle w:val="Odwoanieprzypisudolnego"/>
          <w:rFonts w:cs="Arial"/>
          <w:bCs/>
          <w:sz w:val="22"/>
          <w:szCs w:val="22"/>
        </w:rPr>
        <w:footnoteReference w:id="12"/>
      </w:r>
      <w:r w:rsidRPr="00D90AAF">
        <w:rPr>
          <w:rFonts w:cs="Arial"/>
          <w:bCs/>
          <w:sz w:val="22"/>
          <w:szCs w:val="22"/>
        </w:rPr>
        <w:t>.</w:t>
      </w:r>
    </w:p>
    <w:p w14:paraId="73657212" w14:textId="77777777" w:rsidR="001676E4" w:rsidRPr="00317DE2" w:rsidRDefault="001676E4" w:rsidP="001676E4">
      <w:pPr>
        <w:tabs>
          <w:tab w:val="left" w:pos="426"/>
        </w:tabs>
        <w:spacing w:after="240" w:line="360" w:lineRule="auto"/>
        <w:ind w:firstLine="357"/>
        <w:jc w:val="both"/>
        <w:rPr>
          <w:rFonts w:cs="Arial"/>
          <w:bCs/>
          <w:sz w:val="22"/>
          <w:szCs w:val="22"/>
        </w:rPr>
      </w:pPr>
      <w:r w:rsidRPr="00D90AAF">
        <w:rPr>
          <w:rFonts w:cs="Arial"/>
          <w:bCs/>
          <w:sz w:val="22"/>
          <w:szCs w:val="22"/>
        </w:rPr>
        <w:tab/>
        <w:t>Niestety, działania profilaktyczne realizowane w gminach nie zawsze charakteryzują się wysoką jakością, nie są poparte diagnozą, a przy ich realizacji nie wykorzystuje się wiedzy naukowej dotyczącej skutecznych strategii profilaktycznych. Krajowe Centrum Przeciwdziałania Uzależnieniom, Ośrodek Rozwoju Edukacji oraz Instytut Psychiatrii i Neurologii wdrożyły System Rekomendacji Programów Profilaktycznych Promocji Zdrowia Psychicznego w celu poszerzenia oferty programów posiadających pozytywną ewaluację, opartych na naukowych podstawach i skutecznych strategiach profilaktycznych. Wybierając program warto wziąć pod uwagę jego adekwatność do problemów określonych w diagnozie lokalnej oraz do grupy docelowej, zaś szkolna oferta profilaktyczna adresowana do ogółu populacji powinna być poszerzona o działania adresowane do grup podwyższonego ryzyka (dzieci nieśmiałych, odrzucanych przez rówieśników, mających problemy z nauką czy sprawiających problemy wychowawcze). Według specjalistów zajmujących się profilaktyką, najwyższą skutecznością charakteryzują się programy oparte na równoległych oddziaływaniach na rodziców oraz dzieci</w:t>
      </w:r>
      <w:r w:rsidRPr="00D90AAF">
        <w:rPr>
          <w:rStyle w:val="Odwoanieprzypisudolnego"/>
          <w:rFonts w:cs="Arial"/>
          <w:bCs/>
          <w:sz w:val="22"/>
          <w:szCs w:val="22"/>
        </w:rPr>
        <w:footnoteReference w:id="13"/>
      </w:r>
      <w:r w:rsidRPr="00D90AAF">
        <w:rPr>
          <w:rFonts w:cs="Arial"/>
          <w:bCs/>
          <w:sz w:val="22"/>
          <w:szCs w:val="22"/>
        </w:rPr>
        <w:t>. Obecnie w bazie danych programów rekomendowanych znajduje się 30 programów</w:t>
      </w:r>
      <w:r w:rsidRPr="00D90AAF">
        <w:rPr>
          <w:rFonts w:cs="Arial"/>
          <w:bCs/>
          <w:sz w:val="22"/>
          <w:szCs w:val="22"/>
          <w:vertAlign w:val="superscript"/>
        </w:rPr>
        <w:footnoteReference w:id="14"/>
      </w:r>
      <w:r w:rsidRPr="00D90AAF">
        <w:rPr>
          <w:rFonts w:cs="Arial"/>
          <w:bCs/>
          <w:sz w:val="22"/>
          <w:szCs w:val="22"/>
        </w:rPr>
        <w:t xml:space="preserve"> obejmujących promocję zdrowia, profilaktykę uniwersalną, wskazującą oraz selektywną. Programy z zakresu promocji zdrowia psychicznego to wszelkie działania, które mają na celu polepszenie jakości życia i dobrostanu psychicznego całej populacji, w tym osób z problemami zdrowia psychicznego i ich opiekunów. Programy z zakresu profilaktyki uniwersalnej są skierowane do całej populacji, bez względu na stopień ryzyka wystąpienia </w:t>
      </w:r>
      <w:proofErr w:type="spellStart"/>
      <w:r w:rsidRPr="00D90AAF">
        <w:rPr>
          <w:rFonts w:cs="Arial"/>
          <w:bCs/>
          <w:sz w:val="22"/>
          <w:szCs w:val="22"/>
        </w:rPr>
        <w:t>zachowań</w:t>
      </w:r>
      <w:proofErr w:type="spellEnd"/>
      <w:r w:rsidRPr="00D90AAF">
        <w:rPr>
          <w:rFonts w:cs="Arial"/>
          <w:bCs/>
          <w:sz w:val="22"/>
          <w:szCs w:val="22"/>
        </w:rPr>
        <w:t xml:space="preserve"> problemowych lub zaburzeń psychicznych. Ich celem jest zapobieganie pierwszym próbom podejmowania </w:t>
      </w:r>
      <w:proofErr w:type="spellStart"/>
      <w:r w:rsidRPr="00D90AAF">
        <w:rPr>
          <w:rFonts w:cs="Arial"/>
          <w:bCs/>
          <w:sz w:val="22"/>
          <w:szCs w:val="22"/>
        </w:rPr>
        <w:t>zachowań</w:t>
      </w:r>
      <w:proofErr w:type="spellEnd"/>
      <w:r w:rsidRPr="00D90AAF">
        <w:rPr>
          <w:rFonts w:cs="Arial"/>
          <w:bCs/>
          <w:sz w:val="22"/>
          <w:szCs w:val="22"/>
        </w:rPr>
        <w:t xml:space="preserve"> ryzykownych, wzmacnianie czynników chroniących, redukcja </w:t>
      </w:r>
      <w:r w:rsidRPr="00D90AAF">
        <w:rPr>
          <w:rFonts w:cs="Arial"/>
          <w:bCs/>
          <w:sz w:val="22"/>
          <w:szCs w:val="22"/>
        </w:rPr>
        <w:lastRenderedPageBreak/>
        <w:t>czynników ryzyka. Programy z zakresu profilaktyki selektywnej to działania kierowane do grup zwiększonego ryzyka (osób narażonych na działanie poważnych czynników ryzyka), tj. dzieci osób uzależnionych od substancji psychoaktywnych, dzieci przysposobionych, uczniów z</w:t>
      </w:r>
      <w:r>
        <w:rPr>
          <w:rFonts w:cs="Arial"/>
          <w:bCs/>
          <w:sz w:val="22"/>
          <w:szCs w:val="22"/>
        </w:rPr>
        <w:t> </w:t>
      </w:r>
      <w:r w:rsidRPr="00D90AAF">
        <w:rPr>
          <w:rFonts w:cs="Arial"/>
          <w:bCs/>
          <w:sz w:val="22"/>
          <w:szCs w:val="22"/>
        </w:rPr>
        <w:t>problemami szkolnymi, itp. Ich celem jest dostarczenie informacji i uczenie najważniejszych umiejętności życiowych. Programy z zakresu profilaktyki wskazującej to działania kierowane do osób, których zachowania zaczynają być wysoce ryzykowne (np. młodzież upijająca się w</w:t>
      </w:r>
      <w:r>
        <w:rPr>
          <w:rFonts w:cs="Arial"/>
          <w:bCs/>
          <w:sz w:val="22"/>
          <w:szCs w:val="22"/>
        </w:rPr>
        <w:t> </w:t>
      </w:r>
      <w:r w:rsidRPr="00D90AAF">
        <w:rPr>
          <w:rFonts w:cs="Arial"/>
          <w:bCs/>
          <w:sz w:val="22"/>
          <w:szCs w:val="22"/>
        </w:rPr>
        <w:t>weekendy) i pojawiają się sygnały świadczące o poważnych problemach związanych z ich zachowaniem (np. kłopoty z</w:t>
      </w:r>
      <w:r w:rsidRPr="00317DE2">
        <w:rPr>
          <w:rFonts w:cs="Arial"/>
          <w:bCs/>
          <w:sz w:val="22"/>
          <w:szCs w:val="22"/>
        </w:rPr>
        <w:t xml:space="preserve"> policją, w domu, itp.). Działania te wymagają specjalistycznego przygotowania do prowadzenia pomocy psychologicznej lub medycznej</w:t>
      </w:r>
      <w:r w:rsidRPr="00317DE2">
        <w:rPr>
          <w:rStyle w:val="Odwoanieprzypisudolnego"/>
          <w:rFonts w:cs="Arial"/>
          <w:bCs/>
          <w:sz w:val="22"/>
          <w:szCs w:val="22"/>
        </w:rPr>
        <w:footnoteReference w:id="15"/>
      </w:r>
      <w:r w:rsidRPr="00317DE2">
        <w:rPr>
          <w:rFonts w:cs="Arial"/>
          <w:bCs/>
          <w:sz w:val="22"/>
          <w:szCs w:val="22"/>
        </w:rPr>
        <w:t>.</w:t>
      </w:r>
    </w:p>
    <w:p w14:paraId="15D60A89" w14:textId="5CB3FF1B" w:rsidR="001676E4" w:rsidRPr="0054713D" w:rsidRDefault="001676E4" w:rsidP="001676E4">
      <w:pPr>
        <w:pStyle w:val="Legenda"/>
        <w:keepNext/>
        <w:rPr>
          <w:sz w:val="20"/>
          <w:szCs w:val="16"/>
        </w:rPr>
      </w:pPr>
      <w:bookmarkStart w:id="32" w:name="_Toc214279689"/>
      <w:bookmarkStart w:id="33" w:name="_Hlk104805378"/>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4</w:t>
      </w:r>
      <w:r w:rsidRPr="0054713D">
        <w:rPr>
          <w:sz w:val="20"/>
          <w:szCs w:val="16"/>
        </w:rPr>
        <w:fldChar w:fldCharType="end"/>
      </w:r>
      <w:r w:rsidRPr="0054713D">
        <w:rPr>
          <w:sz w:val="20"/>
          <w:szCs w:val="16"/>
        </w:rPr>
        <w:t>. Rekomendowane programy profilaktyczne z obszaru profilaktyki uniwersalnej w województwie lubelskim realizowane na terenie gmin w latach 2021-2023</w:t>
      </w:r>
      <w:bookmarkEnd w:id="32"/>
    </w:p>
    <w:tbl>
      <w:tblPr>
        <w:tblStyle w:val="Tabela-Siatka"/>
        <w:tblW w:w="9498" w:type="dxa"/>
        <w:tblInd w:w="-147" w:type="dxa"/>
        <w:tblLayout w:type="fixed"/>
        <w:tblLook w:val="04A0" w:firstRow="1" w:lastRow="0" w:firstColumn="1" w:lastColumn="0" w:noHBand="0" w:noVBand="1"/>
      </w:tblPr>
      <w:tblGrid>
        <w:gridCol w:w="851"/>
        <w:gridCol w:w="992"/>
        <w:gridCol w:w="1843"/>
        <w:gridCol w:w="1843"/>
        <w:gridCol w:w="1417"/>
        <w:gridCol w:w="2552"/>
      </w:tblGrid>
      <w:tr w:rsidR="001676E4" w:rsidRPr="00C22FC0" w14:paraId="463742CA" w14:textId="77777777" w:rsidTr="003D66E5">
        <w:trPr>
          <w:tblHeader/>
        </w:trPr>
        <w:tc>
          <w:tcPr>
            <w:tcW w:w="851" w:type="dxa"/>
            <w:vAlign w:val="center"/>
          </w:tcPr>
          <w:p w14:paraId="4F5EF61F" w14:textId="77777777" w:rsidR="001676E4" w:rsidRPr="00C22FC0" w:rsidRDefault="001676E4" w:rsidP="003D66E5">
            <w:pPr>
              <w:tabs>
                <w:tab w:val="left" w:pos="426"/>
              </w:tabs>
              <w:spacing w:after="120"/>
              <w:jc w:val="both"/>
              <w:rPr>
                <w:rFonts w:cs="Arial"/>
                <w:b/>
                <w:sz w:val="20"/>
                <w:szCs w:val="16"/>
              </w:rPr>
            </w:pPr>
            <w:bookmarkStart w:id="34" w:name="_Hlk109727763"/>
            <w:bookmarkStart w:id="35" w:name="_Hlk104805352"/>
            <w:bookmarkEnd w:id="33"/>
            <w:r w:rsidRPr="00C22FC0">
              <w:rPr>
                <w:rFonts w:cs="Arial"/>
                <w:b/>
                <w:sz w:val="20"/>
                <w:szCs w:val="16"/>
              </w:rPr>
              <w:t>Rok</w:t>
            </w:r>
          </w:p>
        </w:tc>
        <w:tc>
          <w:tcPr>
            <w:tcW w:w="992" w:type="dxa"/>
            <w:vAlign w:val="center"/>
          </w:tcPr>
          <w:p w14:paraId="0914E0A0" w14:textId="77777777" w:rsidR="001676E4" w:rsidRPr="00C22FC0" w:rsidRDefault="001676E4" w:rsidP="003D66E5">
            <w:pPr>
              <w:tabs>
                <w:tab w:val="left" w:pos="426"/>
              </w:tabs>
              <w:spacing w:after="120"/>
              <w:jc w:val="center"/>
              <w:rPr>
                <w:rFonts w:cs="Arial"/>
                <w:b/>
                <w:sz w:val="20"/>
                <w:szCs w:val="16"/>
              </w:rPr>
            </w:pPr>
            <w:r w:rsidRPr="00C22FC0">
              <w:rPr>
                <w:rFonts w:cs="Arial"/>
                <w:b/>
                <w:sz w:val="20"/>
                <w:szCs w:val="16"/>
              </w:rPr>
              <w:t>Liczba gmin</w:t>
            </w:r>
          </w:p>
        </w:tc>
        <w:tc>
          <w:tcPr>
            <w:tcW w:w="1843" w:type="dxa"/>
            <w:vAlign w:val="center"/>
          </w:tcPr>
          <w:p w14:paraId="00FA1A0B" w14:textId="77777777" w:rsidR="001676E4" w:rsidRPr="00C22FC0" w:rsidRDefault="001676E4" w:rsidP="003D66E5">
            <w:pPr>
              <w:tabs>
                <w:tab w:val="left" w:pos="426"/>
              </w:tabs>
              <w:spacing w:after="120"/>
              <w:jc w:val="center"/>
              <w:rPr>
                <w:rFonts w:cs="Arial"/>
                <w:b/>
                <w:sz w:val="20"/>
                <w:szCs w:val="16"/>
              </w:rPr>
            </w:pPr>
            <w:r w:rsidRPr="00C22FC0">
              <w:rPr>
                <w:rFonts w:cs="Arial"/>
                <w:b/>
                <w:sz w:val="20"/>
                <w:szCs w:val="16"/>
              </w:rPr>
              <w:t>Liczba uczniów uczestniczących w tych programach</w:t>
            </w:r>
          </w:p>
        </w:tc>
        <w:tc>
          <w:tcPr>
            <w:tcW w:w="1843" w:type="dxa"/>
            <w:vAlign w:val="center"/>
          </w:tcPr>
          <w:p w14:paraId="15C5C927" w14:textId="77777777" w:rsidR="001676E4" w:rsidRPr="00C22FC0" w:rsidRDefault="001676E4" w:rsidP="003D66E5">
            <w:pPr>
              <w:tabs>
                <w:tab w:val="left" w:pos="426"/>
              </w:tabs>
              <w:spacing w:after="120"/>
              <w:jc w:val="center"/>
              <w:rPr>
                <w:rFonts w:cs="Arial"/>
                <w:b/>
                <w:sz w:val="20"/>
                <w:szCs w:val="16"/>
              </w:rPr>
            </w:pPr>
            <w:r w:rsidRPr="00C22FC0">
              <w:rPr>
                <w:rFonts w:cs="Arial"/>
                <w:b/>
                <w:sz w:val="20"/>
                <w:szCs w:val="16"/>
              </w:rPr>
              <w:t>Liczba nauczycieli lub wychowawców uczestniczących w tych programach</w:t>
            </w:r>
          </w:p>
        </w:tc>
        <w:tc>
          <w:tcPr>
            <w:tcW w:w="1417" w:type="dxa"/>
            <w:vAlign w:val="center"/>
          </w:tcPr>
          <w:p w14:paraId="5FC296A3" w14:textId="77777777" w:rsidR="001676E4" w:rsidRPr="00C22FC0" w:rsidRDefault="001676E4" w:rsidP="003D66E5">
            <w:pPr>
              <w:tabs>
                <w:tab w:val="left" w:pos="426"/>
              </w:tabs>
              <w:spacing w:after="120"/>
              <w:jc w:val="center"/>
              <w:rPr>
                <w:rFonts w:cs="Arial"/>
                <w:b/>
                <w:sz w:val="20"/>
                <w:szCs w:val="16"/>
              </w:rPr>
            </w:pPr>
            <w:r w:rsidRPr="00C22FC0">
              <w:rPr>
                <w:rFonts w:cs="Arial"/>
                <w:b/>
                <w:sz w:val="20"/>
                <w:szCs w:val="16"/>
              </w:rPr>
              <w:t>Liczba rodziców uczestniczących w tych programach</w:t>
            </w:r>
          </w:p>
        </w:tc>
        <w:tc>
          <w:tcPr>
            <w:tcW w:w="2552" w:type="dxa"/>
            <w:vAlign w:val="center"/>
          </w:tcPr>
          <w:p w14:paraId="4719DCC5" w14:textId="77777777" w:rsidR="001676E4" w:rsidRPr="00C22FC0" w:rsidRDefault="001676E4" w:rsidP="003D66E5">
            <w:pPr>
              <w:tabs>
                <w:tab w:val="left" w:pos="426"/>
              </w:tabs>
              <w:spacing w:after="120"/>
              <w:jc w:val="center"/>
              <w:rPr>
                <w:rFonts w:cs="Arial"/>
                <w:b/>
                <w:sz w:val="20"/>
                <w:szCs w:val="16"/>
              </w:rPr>
            </w:pPr>
            <w:r w:rsidRPr="00C22FC0">
              <w:rPr>
                <w:rFonts w:cs="Arial"/>
                <w:b/>
                <w:sz w:val="20"/>
                <w:szCs w:val="16"/>
              </w:rPr>
              <w:t xml:space="preserve">Wysokość środków finansowych przeznaczonych na realizację programów rekomendowanych </w:t>
            </w:r>
            <w:r w:rsidRPr="00C22FC0">
              <w:rPr>
                <w:rFonts w:cs="Arial"/>
                <w:b/>
                <w:bCs/>
                <w:sz w:val="20"/>
                <w:szCs w:val="16"/>
              </w:rPr>
              <w:t xml:space="preserve">z obszaru </w:t>
            </w:r>
            <w:r w:rsidRPr="00C22FC0">
              <w:rPr>
                <w:rFonts w:cs="Arial"/>
                <w:b/>
                <w:sz w:val="20"/>
                <w:szCs w:val="16"/>
              </w:rPr>
              <w:t>profilaktyki uniwersalnej (w zł)</w:t>
            </w:r>
          </w:p>
        </w:tc>
      </w:tr>
      <w:tr w:rsidR="001676E4" w:rsidRPr="00C22FC0" w14:paraId="50B3C6C8" w14:textId="77777777" w:rsidTr="003D66E5">
        <w:tc>
          <w:tcPr>
            <w:tcW w:w="851" w:type="dxa"/>
            <w:vAlign w:val="center"/>
          </w:tcPr>
          <w:p w14:paraId="510A1553"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2021</w:t>
            </w:r>
          </w:p>
        </w:tc>
        <w:tc>
          <w:tcPr>
            <w:tcW w:w="992" w:type="dxa"/>
            <w:vAlign w:val="center"/>
          </w:tcPr>
          <w:p w14:paraId="0AE0F81B"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50</w:t>
            </w:r>
          </w:p>
        </w:tc>
        <w:tc>
          <w:tcPr>
            <w:tcW w:w="1843" w:type="dxa"/>
            <w:vAlign w:val="center"/>
          </w:tcPr>
          <w:p w14:paraId="739AED4F"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9 478</w:t>
            </w:r>
          </w:p>
        </w:tc>
        <w:tc>
          <w:tcPr>
            <w:tcW w:w="1843" w:type="dxa"/>
            <w:vAlign w:val="center"/>
          </w:tcPr>
          <w:p w14:paraId="198EF72C"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634</w:t>
            </w:r>
          </w:p>
        </w:tc>
        <w:tc>
          <w:tcPr>
            <w:tcW w:w="1417" w:type="dxa"/>
            <w:vAlign w:val="center"/>
          </w:tcPr>
          <w:p w14:paraId="1CAD160C"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3 079</w:t>
            </w:r>
          </w:p>
        </w:tc>
        <w:tc>
          <w:tcPr>
            <w:tcW w:w="2552" w:type="dxa"/>
            <w:vAlign w:val="center"/>
          </w:tcPr>
          <w:p w14:paraId="373393A4"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390 835,67</w:t>
            </w:r>
          </w:p>
        </w:tc>
      </w:tr>
      <w:tr w:rsidR="001676E4" w:rsidRPr="00C22FC0" w14:paraId="7298AF2D" w14:textId="77777777" w:rsidTr="003D66E5">
        <w:tc>
          <w:tcPr>
            <w:tcW w:w="851" w:type="dxa"/>
            <w:shd w:val="clear" w:color="auto" w:fill="FFFFFF" w:themeFill="background1"/>
            <w:vAlign w:val="center"/>
          </w:tcPr>
          <w:p w14:paraId="1BDDB615"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2022</w:t>
            </w:r>
          </w:p>
        </w:tc>
        <w:tc>
          <w:tcPr>
            <w:tcW w:w="992" w:type="dxa"/>
            <w:shd w:val="clear" w:color="auto" w:fill="FFFFFF" w:themeFill="background1"/>
            <w:vAlign w:val="center"/>
          </w:tcPr>
          <w:p w14:paraId="239F0BC9"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69</w:t>
            </w:r>
          </w:p>
        </w:tc>
        <w:tc>
          <w:tcPr>
            <w:tcW w:w="1843" w:type="dxa"/>
            <w:shd w:val="clear" w:color="auto" w:fill="FFFFFF" w:themeFill="background1"/>
            <w:vAlign w:val="center"/>
          </w:tcPr>
          <w:p w14:paraId="2793F4CA"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23 249</w:t>
            </w:r>
          </w:p>
        </w:tc>
        <w:tc>
          <w:tcPr>
            <w:tcW w:w="1843" w:type="dxa"/>
            <w:shd w:val="clear" w:color="auto" w:fill="FFFFFF" w:themeFill="background1"/>
            <w:vAlign w:val="center"/>
          </w:tcPr>
          <w:p w14:paraId="7222A9E5"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1 623</w:t>
            </w:r>
          </w:p>
        </w:tc>
        <w:tc>
          <w:tcPr>
            <w:tcW w:w="1417" w:type="dxa"/>
            <w:shd w:val="clear" w:color="auto" w:fill="FFFFFF" w:themeFill="background1"/>
            <w:vAlign w:val="center"/>
          </w:tcPr>
          <w:p w14:paraId="36DC9F18"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3 595</w:t>
            </w:r>
          </w:p>
        </w:tc>
        <w:tc>
          <w:tcPr>
            <w:tcW w:w="2552" w:type="dxa"/>
            <w:shd w:val="clear" w:color="auto" w:fill="FFFFFF" w:themeFill="background1"/>
            <w:vAlign w:val="center"/>
          </w:tcPr>
          <w:p w14:paraId="48D01A95"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1 460 211,76</w:t>
            </w:r>
          </w:p>
        </w:tc>
      </w:tr>
      <w:tr w:rsidR="001676E4" w:rsidRPr="00C22FC0" w14:paraId="5BA74E0C" w14:textId="77777777" w:rsidTr="003D66E5">
        <w:tc>
          <w:tcPr>
            <w:tcW w:w="851" w:type="dxa"/>
            <w:shd w:val="clear" w:color="auto" w:fill="FFFFFF" w:themeFill="background1"/>
            <w:vAlign w:val="center"/>
          </w:tcPr>
          <w:p w14:paraId="66854483"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2023</w:t>
            </w:r>
          </w:p>
        </w:tc>
        <w:tc>
          <w:tcPr>
            <w:tcW w:w="992" w:type="dxa"/>
            <w:shd w:val="clear" w:color="auto" w:fill="FFFFFF" w:themeFill="background1"/>
            <w:vAlign w:val="center"/>
          </w:tcPr>
          <w:p w14:paraId="21A23679"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68</w:t>
            </w:r>
          </w:p>
        </w:tc>
        <w:tc>
          <w:tcPr>
            <w:tcW w:w="1843" w:type="dxa"/>
            <w:shd w:val="clear" w:color="auto" w:fill="FFFFFF" w:themeFill="background1"/>
            <w:vAlign w:val="center"/>
          </w:tcPr>
          <w:p w14:paraId="67109479"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15 512</w:t>
            </w:r>
          </w:p>
        </w:tc>
        <w:tc>
          <w:tcPr>
            <w:tcW w:w="1843" w:type="dxa"/>
            <w:shd w:val="clear" w:color="auto" w:fill="FFFFFF" w:themeFill="background1"/>
            <w:vAlign w:val="center"/>
          </w:tcPr>
          <w:p w14:paraId="021CE1F8"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1 660</w:t>
            </w:r>
          </w:p>
        </w:tc>
        <w:tc>
          <w:tcPr>
            <w:tcW w:w="1417" w:type="dxa"/>
            <w:shd w:val="clear" w:color="auto" w:fill="FFFFFF" w:themeFill="background1"/>
            <w:vAlign w:val="center"/>
          </w:tcPr>
          <w:p w14:paraId="29158BCF"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12 237</w:t>
            </w:r>
          </w:p>
        </w:tc>
        <w:tc>
          <w:tcPr>
            <w:tcW w:w="2552" w:type="dxa"/>
            <w:shd w:val="clear" w:color="auto" w:fill="FFFFFF" w:themeFill="background1"/>
            <w:vAlign w:val="center"/>
          </w:tcPr>
          <w:p w14:paraId="3AA15E31" w14:textId="77777777" w:rsidR="001676E4" w:rsidRPr="00C22FC0" w:rsidRDefault="001676E4" w:rsidP="003D66E5">
            <w:pPr>
              <w:tabs>
                <w:tab w:val="left" w:pos="426"/>
              </w:tabs>
              <w:spacing w:after="0" w:line="360" w:lineRule="auto"/>
              <w:jc w:val="center"/>
              <w:rPr>
                <w:rFonts w:cs="Arial"/>
                <w:bCs/>
                <w:sz w:val="20"/>
                <w:szCs w:val="16"/>
              </w:rPr>
            </w:pPr>
            <w:r w:rsidRPr="00C22FC0">
              <w:rPr>
                <w:rFonts w:cs="Arial"/>
                <w:bCs/>
                <w:sz w:val="20"/>
                <w:szCs w:val="16"/>
              </w:rPr>
              <w:t>1 065 803,40</w:t>
            </w:r>
          </w:p>
        </w:tc>
      </w:tr>
    </w:tbl>
    <w:bookmarkEnd w:id="34"/>
    <w:p w14:paraId="3C6A10CE" w14:textId="3876CE69" w:rsidR="001676E4" w:rsidRPr="004B3E03" w:rsidRDefault="001676E4" w:rsidP="001676E4">
      <w:pPr>
        <w:spacing w:after="240" w:line="240" w:lineRule="auto"/>
        <w:jc w:val="both"/>
        <w:rPr>
          <w:rFonts w:cs="Arial"/>
          <w:sz w:val="16"/>
          <w:szCs w:val="16"/>
        </w:rPr>
      </w:pPr>
      <w:r w:rsidRPr="004B3E03">
        <w:rPr>
          <w:rFonts w:cs="Arial"/>
          <w:bCs/>
          <w:sz w:val="16"/>
          <w:szCs w:val="16"/>
        </w:rPr>
        <w:t xml:space="preserve">Źródło: </w:t>
      </w:r>
      <w:bookmarkEnd w:id="35"/>
      <w:r w:rsidRPr="004B3E03">
        <w:rPr>
          <w:rFonts w:cs="Arial"/>
          <w:sz w:val="16"/>
          <w:szCs w:val="16"/>
        </w:rPr>
        <w:t>Sprawozdania z działalności samorządów gminnych w zakresie profilaktyki i rozwiązywania problemów alkoholowych (Ankieta G1) za PARPA 2021-202</w:t>
      </w:r>
      <w:r w:rsidR="002C6CA5">
        <w:rPr>
          <w:rFonts w:cs="Arial"/>
          <w:sz w:val="16"/>
          <w:szCs w:val="16"/>
        </w:rPr>
        <w:t>2</w:t>
      </w:r>
      <w:r w:rsidRPr="004B3E03">
        <w:rPr>
          <w:rFonts w:cs="Arial"/>
          <w:sz w:val="16"/>
          <w:szCs w:val="16"/>
        </w:rPr>
        <w:t xml:space="preserve"> oraz PROFILAKTYKA I ROZWIĄZYWANIE PROBLEMÓW UZALEŻNIEŃ W POLSCE W SAMORZĄDACH LOKALNYCH w 2023 roku, Zestawienia statystyczne, KCPU</w:t>
      </w:r>
    </w:p>
    <w:p w14:paraId="4C137EA2" w14:textId="2082B632" w:rsidR="001676E4" w:rsidRPr="00317DE2" w:rsidRDefault="001676E4" w:rsidP="001676E4">
      <w:pPr>
        <w:tabs>
          <w:tab w:val="left" w:pos="426"/>
        </w:tabs>
        <w:spacing w:before="240" w:after="0" w:line="360" w:lineRule="auto"/>
        <w:ind w:firstLine="360"/>
        <w:jc w:val="both"/>
        <w:rPr>
          <w:rFonts w:cs="Arial"/>
          <w:bCs/>
          <w:sz w:val="22"/>
          <w:szCs w:val="22"/>
        </w:rPr>
      </w:pPr>
      <w:r w:rsidRPr="0031736D">
        <w:rPr>
          <w:rFonts w:cs="Arial"/>
          <w:bCs/>
          <w:sz w:val="22"/>
          <w:szCs w:val="22"/>
        </w:rPr>
        <w:t>Programów rekomendowanych wciąż nie wykorzystuje się w wystarczającym stopniu. Realizuje je tylko co trzecia gmina w Polsce, a środki przeznaczone na te działania to zaledwie 27% ogółu środków wydawanych na realizację działań profilaktycznych. Należy podkreślić, że duża część działań uruchamianych przez gminy</w:t>
      </w:r>
      <w:r w:rsidR="008313BE">
        <w:rPr>
          <w:rFonts w:cs="Arial"/>
          <w:bCs/>
          <w:sz w:val="22"/>
          <w:szCs w:val="22"/>
        </w:rPr>
        <w:t>,</w:t>
      </w:r>
      <w:r w:rsidRPr="0031736D">
        <w:rPr>
          <w:rFonts w:cs="Arial"/>
          <w:bCs/>
          <w:sz w:val="22"/>
          <w:szCs w:val="22"/>
        </w:rPr>
        <w:t xml:space="preserve"> to</w:t>
      </w:r>
      <w:r w:rsidRPr="00317DE2">
        <w:rPr>
          <w:rFonts w:cs="Arial"/>
          <w:bCs/>
          <w:sz w:val="22"/>
          <w:szCs w:val="22"/>
        </w:rPr>
        <w:t xml:space="preserve"> działania uznane za nieskuteczne (w wyniku prowadzonych badań naukowych), duża część środków przeznaczana jest np. na pozalekcyjne zajęcia sportowe. Wydatkowanie przez samorządy środków finansowych na działania o nie potwierdzonej skuteczności lub nieskuteczne nie powinno mieć miejsca. Z tego względu należy promować realizację programów rekomendowanych, które spełniają standardy profilaktyki opartej na naukowych podstawach</w:t>
      </w:r>
      <w:r w:rsidRPr="00317DE2">
        <w:rPr>
          <w:rStyle w:val="Odwoanieprzypisudolnego"/>
          <w:rFonts w:cs="Arial"/>
          <w:bCs/>
          <w:sz w:val="22"/>
          <w:szCs w:val="22"/>
        </w:rPr>
        <w:footnoteReference w:id="16"/>
      </w:r>
      <w:r w:rsidRPr="00317DE2">
        <w:rPr>
          <w:rFonts w:cs="Arial"/>
          <w:bCs/>
          <w:sz w:val="22"/>
          <w:szCs w:val="22"/>
        </w:rPr>
        <w:t>.</w:t>
      </w:r>
    </w:p>
    <w:p w14:paraId="22EDF7DA" w14:textId="315DAF6A" w:rsidR="001676E4" w:rsidRPr="00317DE2" w:rsidRDefault="008313BE" w:rsidP="00904284">
      <w:pPr>
        <w:tabs>
          <w:tab w:val="left" w:pos="426"/>
        </w:tabs>
        <w:spacing w:line="360" w:lineRule="auto"/>
        <w:jc w:val="both"/>
        <w:rPr>
          <w:rFonts w:cs="Arial"/>
          <w:sz w:val="22"/>
          <w:szCs w:val="22"/>
        </w:rPr>
      </w:pPr>
      <w:r>
        <w:rPr>
          <w:rFonts w:cs="Arial"/>
          <w:sz w:val="22"/>
          <w:szCs w:val="22"/>
        </w:rPr>
        <w:tab/>
      </w:r>
      <w:r w:rsidR="002C6CA5">
        <w:rPr>
          <w:rFonts w:cs="Arial"/>
          <w:sz w:val="22"/>
          <w:szCs w:val="22"/>
        </w:rPr>
        <w:t>G</w:t>
      </w:r>
      <w:r w:rsidR="001676E4" w:rsidRPr="00317DE2">
        <w:rPr>
          <w:rFonts w:cs="Arial"/>
          <w:sz w:val="22"/>
          <w:szCs w:val="22"/>
        </w:rPr>
        <w:t>miny podejmowały się realizacji innych program</w:t>
      </w:r>
      <w:r w:rsidR="002C6CA5">
        <w:rPr>
          <w:rFonts w:cs="Arial"/>
          <w:sz w:val="22"/>
          <w:szCs w:val="22"/>
        </w:rPr>
        <w:t xml:space="preserve">ów, </w:t>
      </w:r>
      <w:r w:rsidR="001676E4" w:rsidRPr="00317DE2">
        <w:rPr>
          <w:rFonts w:cs="Arial"/>
          <w:sz w:val="22"/>
          <w:szCs w:val="22"/>
        </w:rPr>
        <w:t>nie znajdujących się liście programów rekomendowanych. Dobór tych programów był autonomiczną decyzją w gminach i wynikał z diagnozy lokalnych potrzeb odnośnie zakresu odbiorców tych działań. Zakres realizacji w gminach programów profilaktycznych innych niż rekomendowane na przestrzeni lat 20</w:t>
      </w:r>
      <w:r w:rsidR="002C6CA5">
        <w:rPr>
          <w:rFonts w:cs="Arial"/>
          <w:sz w:val="22"/>
          <w:szCs w:val="22"/>
        </w:rPr>
        <w:t>21</w:t>
      </w:r>
      <w:r w:rsidR="001676E4" w:rsidRPr="00317DE2">
        <w:rPr>
          <w:rFonts w:cs="Arial"/>
          <w:sz w:val="22"/>
          <w:szCs w:val="22"/>
        </w:rPr>
        <w:t xml:space="preserve">-2023 </w:t>
      </w:r>
      <w:r w:rsidR="001676E4" w:rsidRPr="00317DE2">
        <w:rPr>
          <w:rFonts w:cs="Arial"/>
          <w:sz w:val="22"/>
          <w:szCs w:val="22"/>
        </w:rPr>
        <w:lastRenderedPageBreak/>
        <w:t xml:space="preserve">przedstawiono w tabelach nr </w:t>
      </w:r>
      <w:r>
        <w:rPr>
          <w:rFonts w:cs="Arial"/>
          <w:sz w:val="22"/>
          <w:szCs w:val="22"/>
        </w:rPr>
        <w:t xml:space="preserve">5, 6 i </w:t>
      </w:r>
      <w:r w:rsidR="001676E4" w:rsidRPr="00317DE2">
        <w:rPr>
          <w:rFonts w:cs="Arial"/>
          <w:sz w:val="22"/>
          <w:szCs w:val="22"/>
        </w:rPr>
        <w:t>7.</w:t>
      </w:r>
      <w:r>
        <w:rPr>
          <w:rFonts w:cs="Arial"/>
          <w:sz w:val="22"/>
          <w:szCs w:val="22"/>
        </w:rPr>
        <w:t xml:space="preserve"> </w:t>
      </w:r>
      <w:r w:rsidR="001676E4" w:rsidRPr="00317DE2">
        <w:rPr>
          <w:rFonts w:cs="Arial"/>
          <w:bCs/>
          <w:sz w:val="22"/>
          <w:szCs w:val="22"/>
        </w:rPr>
        <w:t xml:space="preserve">W latach </w:t>
      </w:r>
      <w:r w:rsidR="001676E4" w:rsidRPr="0031736D">
        <w:rPr>
          <w:rFonts w:cs="Arial"/>
          <w:bCs/>
          <w:sz w:val="22"/>
          <w:szCs w:val="22"/>
        </w:rPr>
        <w:t>20</w:t>
      </w:r>
      <w:r w:rsidR="00C7010E">
        <w:rPr>
          <w:rFonts w:cs="Arial"/>
          <w:bCs/>
          <w:sz w:val="22"/>
          <w:szCs w:val="22"/>
        </w:rPr>
        <w:t>2</w:t>
      </w:r>
      <w:r w:rsidR="001676E4" w:rsidRPr="0031736D">
        <w:rPr>
          <w:rFonts w:cs="Arial"/>
          <w:bCs/>
          <w:sz w:val="22"/>
          <w:szCs w:val="22"/>
        </w:rPr>
        <w:t xml:space="preserve">1-2023 </w:t>
      </w:r>
      <w:r>
        <w:rPr>
          <w:rFonts w:cs="Arial"/>
          <w:bCs/>
          <w:sz w:val="22"/>
          <w:szCs w:val="22"/>
        </w:rPr>
        <w:t xml:space="preserve">w </w:t>
      </w:r>
      <w:r w:rsidR="001676E4" w:rsidRPr="0031736D">
        <w:rPr>
          <w:rFonts w:cs="Arial"/>
          <w:bCs/>
          <w:sz w:val="22"/>
          <w:szCs w:val="22"/>
        </w:rPr>
        <w:t>około 40% gmin województwa lubelskiego realizowane był</w:t>
      </w:r>
      <w:r>
        <w:rPr>
          <w:rFonts w:cs="Arial"/>
          <w:bCs/>
          <w:sz w:val="22"/>
          <w:szCs w:val="22"/>
        </w:rPr>
        <w:t>y</w:t>
      </w:r>
      <w:r w:rsidR="001676E4" w:rsidRPr="0031736D">
        <w:rPr>
          <w:rFonts w:cs="Arial"/>
          <w:bCs/>
          <w:sz w:val="22"/>
          <w:szCs w:val="22"/>
        </w:rPr>
        <w:t xml:space="preserve"> „inne niż rekomendowane programy profilaktyczne” z zakresu profilaktyki uniwersalnej. Z kolei „inne niż rekomendowane programy profilaktyczne” z zakresu profilaktyki selektywnej realizowano </w:t>
      </w:r>
      <w:r w:rsidR="001676E4" w:rsidRPr="00317DE2">
        <w:rPr>
          <w:rFonts w:cs="Arial"/>
          <w:bCs/>
          <w:sz w:val="22"/>
          <w:szCs w:val="22"/>
        </w:rPr>
        <w:t>w około 6% lubelskich gmin, natomiast „inne niż rekomendowane programy profilaktyczne” z zakresu profilaktyki wskazującej w około 3% gmin</w:t>
      </w:r>
      <w:r w:rsidR="001676E4" w:rsidRPr="00317DE2">
        <w:rPr>
          <w:rFonts w:cs="Arial"/>
          <w:bCs/>
          <w:sz w:val="22"/>
          <w:szCs w:val="22"/>
          <w:vertAlign w:val="superscript"/>
        </w:rPr>
        <w:footnoteReference w:id="17"/>
      </w:r>
      <w:r w:rsidR="001676E4" w:rsidRPr="00317DE2">
        <w:rPr>
          <w:rFonts w:cs="Arial"/>
          <w:bCs/>
          <w:sz w:val="22"/>
          <w:szCs w:val="22"/>
        </w:rPr>
        <w:t>.</w:t>
      </w:r>
    </w:p>
    <w:p w14:paraId="1E4A285C" w14:textId="0E8D63AA" w:rsidR="001676E4" w:rsidRPr="0054713D" w:rsidRDefault="001676E4" w:rsidP="001676E4">
      <w:pPr>
        <w:pStyle w:val="Legenda"/>
        <w:keepNext/>
        <w:rPr>
          <w:sz w:val="20"/>
          <w:szCs w:val="16"/>
        </w:rPr>
      </w:pPr>
      <w:bookmarkStart w:id="36" w:name="_Toc214279690"/>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5</w:t>
      </w:r>
      <w:r w:rsidRPr="0054713D">
        <w:rPr>
          <w:sz w:val="20"/>
          <w:szCs w:val="16"/>
        </w:rPr>
        <w:fldChar w:fldCharType="end"/>
      </w:r>
      <w:r w:rsidRPr="0054713D">
        <w:rPr>
          <w:sz w:val="20"/>
          <w:szCs w:val="16"/>
        </w:rPr>
        <w:t>. Inne niż rekomendowane programy profilaktyczne z obszaru profilaktyki uniwersalnej realizowane na terenie gmin w latach 2021-2023</w:t>
      </w:r>
      <w:bookmarkEnd w:id="36"/>
    </w:p>
    <w:tbl>
      <w:tblPr>
        <w:tblStyle w:val="Tabela-Siatka"/>
        <w:tblW w:w="8959" w:type="dxa"/>
        <w:tblInd w:w="108" w:type="dxa"/>
        <w:tblLayout w:type="fixed"/>
        <w:tblLook w:val="04A0" w:firstRow="1" w:lastRow="0" w:firstColumn="1" w:lastColumn="0" w:noHBand="0" w:noVBand="1"/>
      </w:tblPr>
      <w:tblGrid>
        <w:gridCol w:w="723"/>
        <w:gridCol w:w="865"/>
        <w:gridCol w:w="1701"/>
        <w:gridCol w:w="1701"/>
        <w:gridCol w:w="1701"/>
        <w:gridCol w:w="2268"/>
      </w:tblGrid>
      <w:tr w:rsidR="001676E4" w:rsidRPr="0031736D" w14:paraId="0DF0C172" w14:textId="77777777" w:rsidTr="003D66E5">
        <w:trPr>
          <w:tblHeader/>
        </w:trPr>
        <w:tc>
          <w:tcPr>
            <w:tcW w:w="723" w:type="dxa"/>
            <w:vAlign w:val="center"/>
          </w:tcPr>
          <w:p w14:paraId="1DFB13D0" w14:textId="77777777" w:rsidR="001676E4" w:rsidRPr="0031736D" w:rsidRDefault="001676E4" w:rsidP="003D66E5">
            <w:pPr>
              <w:tabs>
                <w:tab w:val="left" w:pos="426"/>
              </w:tabs>
              <w:spacing w:after="120"/>
              <w:jc w:val="center"/>
              <w:rPr>
                <w:rFonts w:cs="Arial"/>
                <w:b/>
                <w:sz w:val="18"/>
                <w:szCs w:val="18"/>
              </w:rPr>
            </w:pPr>
            <w:r w:rsidRPr="0031736D">
              <w:rPr>
                <w:rFonts w:cs="Arial"/>
                <w:b/>
                <w:sz w:val="18"/>
                <w:szCs w:val="18"/>
              </w:rPr>
              <w:t>Rok</w:t>
            </w:r>
          </w:p>
        </w:tc>
        <w:tc>
          <w:tcPr>
            <w:tcW w:w="865" w:type="dxa"/>
            <w:vAlign w:val="center"/>
          </w:tcPr>
          <w:p w14:paraId="4433C37E" w14:textId="77777777" w:rsidR="001676E4" w:rsidRPr="0031736D" w:rsidRDefault="001676E4" w:rsidP="003D66E5">
            <w:pPr>
              <w:tabs>
                <w:tab w:val="left" w:pos="426"/>
              </w:tabs>
              <w:spacing w:after="120"/>
              <w:jc w:val="center"/>
              <w:rPr>
                <w:rFonts w:cs="Arial"/>
                <w:b/>
                <w:sz w:val="18"/>
                <w:szCs w:val="18"/>
              </w:rPr>
            </w:pPr>
            <w:r w:rsidRPr="0031736D">
              <w:rPr>
                <w:rFonts w:cs="Arial"/>
                <w:b/>
                <w:sz w:val="18"/>
                <w:szCs w:val="18"/>
              </w:rPr>
              <w:t>Liczba gmin</w:t>
            </w:r>
          </w:p>
        </w:tc>
        <w:tc>
          <w:tcPr>
            <w:tcW w:w="1701" w:type="dxa"/>
            <w:vAlign w:val="center"/>
          </w:tcPr>
          <w:p w14:paraId="10DF83B4" w14:textId="77777777" w:rsidR="001676E4" w:rsidRPr="0031736D" w:rsidRDefault="001676E4" w:rsidP="003D66E5">
            <w:pPr>
              <w:tabs>
                <w:tab w:val="left" w:pos="426"/>
              </w:tabs>
              <w:spacing w:after="120"/>
              <w:jc w:val="center"/>
              <w:rPr>
                <w:rFonts w:cs="Arial"/>
                <w:b/>
                <w:sz w:val="18"/>
                <w:szCs w:val="18"/>
              </w:rPr>
            </w:pPr>
            <w:r w:rsidRPr="0031736D">
              <w:rPr>
                <w:rFonts w:cs="Arial"/>
                <w:b/>
                <w:sz w:val="18"/>
                <w:szCs w:val="18"/>
              </w:rPr>
              <w:t>Liczba uczniów uczestniczących w tych programach</w:t>
            </w:r>
          </w:p>
        </w:tc>
        <w:tc>
          <w:tcPr>
            <w:tcW w:w="1701" w:type="dxa"/>
            <w:vAlign w:val="center"/>
          </w:tcPr>
          <w:p w14:paraId="69CC5C71" w14:textId="77777777" w:rsidR="001676E4" w:rsidRPr="0031736D" w:rsidRDefault="001676E4" w:rsidP="003D66E5">
            <w:pPr>
              <w:tabs>
                <w:tab w:val="left" w:pos="426"/>
              </w:tabs>
              <w:spacing w:after="120"/>
              <w:jc w:val="center"/>
              <w:rPr>
                <w:rFonts w:cs="Arial"/>
                <w:b/>
                <w:sz w:val="18"/>
                <w:szCs w:val="18"/>
              </w:rPr>
            </w:pPr>
            <w:r w:rsidRPr="0031736D">
              <w:rPr>
                <w:rFonts w:cs="Arial"/>
                <w:b/>
                <w:sz w:val="18"/>
                <w:szCs w:val="18"/>
              </w:rPr>
              <w:t>Liczba nauczycieli lub wychowawców uczestniczących w tych programach</w:t>
            </w:r>
          </w:p>
        </w:tc>
        <w:tc>
          <w:tcPr>
            <w:tcW w:w="1701" w:type="dxa"/>
            <w:vAlign w:val="center"/>
          </w:tcPr>
          <w:p w14:paraId="600342E6" w14:textId="77777777" w:rsidR="001676E4" w:rsidRPr="0031736D" w:rsidRDefault="001676E4" w:rsidP="003D66E5">
            <w:pPr>
              <w:tabs>
                <w:tab w:val="left" w:pos="426"/>
              </w:tabs>
              <w:spacing w:after="120"/>
              <w:jc w:val="center"/>
              <w:rPr>
                <w:rFonts w:cs="Arial"/>
                <w:b/>
                <w:sz w:val="18"/>
                <w:szCs w:val="18"/>
              </w:rPr>
            </w:pPr>
            <w:r w:rsidRPr="0031736D">
              <w:rPr>
                <w:rFonts w:cs="Arial"/>
                <w:b/>
                <w:sz w:val="18"/>
                <w:szCs w:val="18"/>
              </w:rPr>
              <w:t>Liczba rodziców uczestniczących w tych programach</w:t>
            </w:r>
          </w:p>
        </w:tc>
        <w:tc>
          <w:tcPr>
            <w:tcW w:w="2268" w:type="dxa"/>
            <w:vAlign w:val="center"/>
          </w:tcPr>
          <w:p w14:paraId="782A6850" w14:textId="77777777" w:rsidR="001676E4" w:rsidRPr="0031736D" w:rsidRDefault="001676E4" w:rsidP="003D66E5">
            <w:pPr>
              <w:tabs>
                <w:tab w:val="left" w:pos="426"/>
              </w:tabs>
              <w:spacing w:after="120"/>
              <w:jc w:val="center"/>
              <w:rPr>
                <w:rFonts w:cs="Arial"/>
                <w:b/>
                <w:sz w:val="18"/>
                <w:szCs w:val="18"/>
              </w:rPr>
            </w:pPr>
            <w:r w:rsidRPr="0031736D">
              <w:rPr>
                <w:rFonts w:cs="Arial"/>
                <w:b/>
                <w:sz w:val="18"/>
                <w:szCs w:val="18"/>
              </w:rPr>
              <w:t>Wysokość środków finansowych przeznaczonych na realizację programów  innych niż rekomendowane z obszaru profilaktyki uniwersalnej(w zł)</w:t>
            </w:r>
          </w:p>
        </w:tc>
      </w:tr>
      <w:tr w:rsidR="001676E4" w:rsidRPr="0054713D" w14:paraId="5D70E4E8" w14:textId="77777777" w:rsidTr="003D66E5">
        <w:tc>
          <w:tcPr>
            <w:tcW w:w="723" w:type="dxa"/>
            <w:vAlign w:val="center"/>
          </w:tcPr>
          <w:p w14:paraId="6839F9F8"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2021</w:t>
            </w:r>
          </w:p>
        </w:tc>
        <w:tc>
          <w:tcPr>
            <w:tcW w:w="865" w:type="dxa"/>
            <w:vAlign w:val="center"/>
          </w:tcPr>
          <w:p w14:paraId="13378AD8"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90</w:t>
            </w:r>
          </w:p>
        </w:tc>
        <w:tc>
          <w:tcPr>
            <w:tcW w:w="1701" w:type="dxa"/>
            <w:vAlign w:val="center"/>
          </w:tcPr>
          <w:p w14:paraId="54D63B96"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48 139</w:t>
            </w:r>
          </w:p>
        </w:tc>
        <w:tc>
          <w:tcPr>
            <w:tcW w:w="1701" w:type="dxa"/>
            <w:vAlign w:val="center"/>
          </w:tcPr>
          <w:p w14:paraId="39B8CF65"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2599</w:t>
            </w:r>
          </w:p>
        </w:tc>
        <w:tc>
          <w:tcPr>
            <w:tcW w:w="1701" w:type="dxa"/>
            <w:vAlign w:val="center"/>
          </w:tcPr>
          <w:p w14:paraId="01F930BC"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5 629</w:t>
            </w:r>
          </w:p>
        </w:tc>
        <w:tc>
          <w:tcPr>
            <w:tcW w:w="2268" w:type="dxa"/>
            <w:vAlign w:val="center"/>
          </w:tcPr>
          <w:p w14:paraId="4FCF4402"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1 204 934,03</w:t>
            </w:r>
          </w:p>
        </w:tc>
      </w:tr>
      <w:tr w:rsidR="001676E4" w:rsidRPr="0054713D" w14:paraId="697A811B" w14:textId="77777777" w:rsidTr="003D66E5">
        <w:tc>
          <w:tcPr>
            <w:tcW w:w="723" w:type="dxa"/>
            <w:vAlign w:val="center"/>
          </w:tcPr>
          <w:p w14:paraId="4F0A8381"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2022</w:t>
            </w:r>
          </w:p>
        </w:tc>
        <w:tc>
          <w:tcPr>
            <w:tcW w:w="865" w:type="dxa"/>
            <w:vAlign w:val="center"/>
          </w:tcPr>
          <w:p w14:paraId="6163C2EE"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95</w:t>
            </w:r>
          </w:p>
        </w:tc>
        <w:tc>
          <w:tcPr>
            <w:tcW w:w="1701" w:type="dxa"/>
            <w:vAlign w:val="center"/>
          </w:tcPr>
          <w:p w14:paraId="4B3A00D9"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47 171</w:t>
            </w:r>
          </w:p>
        </w:tc>
        <w:tc>
          <w:tcPr>
            <w:tcW w:w="1701" w:type="dxa"/>
            <w:vAlign w:val="center"/>
          </w:tcPr>
          <w:p w14:paraId="0B3F5D40"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2 187</w:t>
            </w:r>
          </w:p>
        </w:tc>
        <w:tc>
          <w:tcPr>
            <w:tcW w:w="1701" w:type="dxa"/>
            <w:vAlign w:val="center"/>
          </w:tcPr>
          <w:p w14:paraId="18E9209E"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6 733</w:t>
            </w:r>
          </w:p>
        </w:tc>
        <w:tc>
          <w:tcPr>
            <w:tcW w:w="2268" w:type="dxa"/>
            <w:vAlign w:val="center"/>
          </w:tcPr>
          <w:p w14:paraId="42950200"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1 495 491,12</w:t>
            </w:r>
          </w:p>
        </w:tc>
      </w:tr>
      <w:tr w:rsidR="001676E4" w:rsidRPr="0054713D" w14:paraId="686768AC" w14:textId="77777777" w:rsidTr="003D66E5">
        <w:tc>
          <w:tcPr>
            <w:tcW w:w="723" w:type="dxa"/>
            <w:vAlign w:val="center"/>
          </w:tcPr>
          <w:p w14:paraId="1BB7D11C"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2023</w:t>
            </w:r>
          </w:p>
        </w:tc>
        <w:tc>
          <w:tcPr>
            <w:tcW w:w="865" w:type="dxa"/>
            <w:vAlign w:val="center"/>
          </w:tcPr>
          <w:p w14:paraId="75DDF304"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87</w:t>
            </w:r>
          </w:p>
        </w:tc>
        <w:tc>
          <w:tcPr>
            <w:tcW w:w="1701" w:type="dxa"/>
            <w:vAlign w:val="center"/>
          </w:tcPr>
          <w:p w14:paraId="5EC0C41B"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44 945</w:t>
            </w:r>
          </w:p>
        </w:tc>
        <w:tc>
          <w:tcPr>
            <w:tcW w:w="1701" w:type="dxa"/>
            <w:vAlign w:val="center"/>
          </w:tcPr>
          <w:p w14:paraId="24303021"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1 811</w:t>
            </w:r>
          </w:p>
        </w:tc>
        <w:tc>
          <w:tcPr>
            <w:tcW w:w="1701" w:type="dxa"/>
            <w:vAlign w:val="center"/>
          </w:tcPr>
          <w:p w14:paraId="67B3202D"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5 294</w:t>
            </w:r>
          </w:p>
        </w:tc>
        <w:tc>
          <w:tcPr>
            <w:tcW w:w="2268" w:type="dxa"/>
            <w:vAlign w:val="center"/>
          </w:tcPr>
          <w:p w14:paraId="5DE65568" w14:textId="77777777" w:rsidR="001676E4" w:rsidRPr="0054713D" w:rsidRDefault="001676E4" w:rsidP="003D66E5">
            <w:pPr>
              <w:tabs>
                <w:tab w:val="left" w:pos="426"/>
              </w:tabs>
              <w:spacing w:after="120" w:line="360" w:lineRule="auto"/>
              <w:jc w:val="center"/>
              <w:rPr>
                <w:rFonts w:cs="Arial"/>
                <w:bCs/>
                <w:sz w:val="20"/>
                <w:szCs w:val="16"/>
              </w:rPr>
            </w:pPr>
            <w:r w:rsidRPr="0054713D">
              <w:rPr>
                <w:rFonts w:cs="Arial"/>
                <w:bCs/>
                <w:sz w:val="20"/>
                <w:szCs w:val="16"/>
              </w:rPr>
              <w:t>1 434 842,02</w:t>
            </w:r>
          </w:p>
        </w:tc>
      </w:tr>
    </w:tbl>
    <w:p w14:paraId="62276BEB" w14:textId="0AF94858" w:rsidR="001676E4" w:rsidRPr="004B3E03" w:rsidRDefault="001676E4" w:rsidP="001676E4">
      <w:pPr>
        <w:spacing w:after="240" w:line="240" w:lineRule="auto"/>
        <w:ind w:right="284"/>
        <w:jc w:val="both"/>
        <w:rPr>
          <w:rFonts w:cs="Arial"/>
          <w:sz w:val="16"/>
          <w:szCs w:val="16"/>
        </w:rPr>
      </w:pPr>
      <w:r w:rsidRPr="004B3E03">
        <w:rPr>
          <w:rFonts w:cs="Arial"/>
          <w:sz w:val="16"/>
          <w:szCs w:val="16"/>
        </w:rPr>
        <w:t>Sprawozdania z działalności samorządów gminnych w zakresie profilaktyki i rozwiązywania problemów alkoholowych (Ankieta G1)  PARPA 2021-202</w:t>
      </w:r>
      <w:r w:rsidR="002C6CA5">
        <w:rPr>
          <w:rFonts w:cs="Arial"/>
          <w:sz w:val="16"/>
          <w:szCs w:val="16"/>
        </w:rPr>
        <w:t>2</w:t>
      </w:r>
      <w:r w:rsidRPr="004B3E03">
        <w:rPr>
          <w:rFonts w:cs="Arial"/>
          <w:sz w:val="16"/>
          <w:szCs w:val="16"/>
        </w:rPr>
        <w:t xml:space="preserve"> oraz PROFILAKTYKA I ROZWIĄZYWANIE PROBLEMÓW UZALEŻNIEŃ W POLSCE W SAMORZĄDACH LOKALNYCH w 2023 roku, Zestawienia statystyczne, KCPU</w:t>
      </w:r>
    </w:p>
    <w:p w14:paraId="1D64039E" w14:textId="2333D343" w:rsidR="001676E4" w:rsidRDefault="001676E4" w:rsidP="001676E4">
      <w:pPr>
        <w:pStyle w:val="Legenda"/>
        <w:keepNext/>
      </w:pPr>
      <w:bookmarkStart w:id="37" w:name="_Toc214279691"/>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6</w:t>
      </w:r>
      <w:r w:rsidRPr="0054713D">
        <w:rPr>
          <w:sz w:val="20"/>
          <w:szCs w:val="16"/>
        </w:rPr>
        <w:fldChar w:fldCharType="end"/>
      </w:r>
      <w:r w:rsidRPr="0054713D">
        <w:rPr>
          <w:sz w:val="20"/>
          <w:szCs w:val="16"/>
        </w:rPr>
        <w:t xml:space="preserve">. Inne niż rekomendowane programy profilaktyczne z obszaru profilaktyki selektywnej dla młodzieży z grup ryzyka realizowane na terenie </w:t>
      </w:r>
      <w:r w:rsidRPr="008313BE">
        <w:rPr>
          <w:sz w:val="20"/>
        </w:rPr>
        <w:t>gmin w latach 2021-2023</w:t>
      </w:r>
      <w:bookmarkEnd w:id="37"/>
    </w:p>
    <w:tbl>
      <w:tblPr>
        <w:tblStyle w:val="Tabela-Siatka"/>
        <w:tblW w:w="8959" w:type="dxa"/>
        <w:tblInd w:w="108" w:type="dxa"/>
        <w:tblLayout w:type="fixed"/>
        <w:tblLook w:val="04A0" w:firstRow="1" w:lastRow="0" w:firstColumn="1" w:lastColumn="0" w:noHBand="0" w:noVBand="1"/>
      </w:tblPr>
      <w:tblGrid>
        <w:gridCol w:w="723"/>
        <w:gridCol w:w="865"/>
        <w:gridCol w:w="1701"/>
        <w:gridCol w:w="1701"/>
        <w:gridCol w:w="1701"/>
        <w:gridCol w:w="2268"/>
      </w:tblGrid>
      <w:tr w:rsidR="001676E4" w:rsidRPr="0054713D" w14:paraId="4C1F7EEB" w14:textId="77777777" w:rsidTr="003D66E5">
        <w:trPr>
          <w:tblHeader/>
        </w:trPr>
        <w:tc>
          <w:tcPr>
            <w:tcW w:w="723" w:type="dxa"/>
            <w:vAlign w:val="center"/>
          </w:tcPr>
          <w:p w14:paraId="20EB97CC" w14:textId="77777777" w:rsidR="001676E4" w:rsidRPr="0054713D" w:rsidRDefault="001676E4" w:rsidP="003D66E5">
            <w:pPr>
              <w:tabs>
                <w:tab w:val="left" w:pos="426"/>
              </w:tabs>
              <w:spacing w:after="120"/>
              <w:jc w:val="center"/>
              <w:rPr>
                <w:rFonts w:cs="Arial"/>
                <w:b/>
                <w:sz w:val="20"/>
              </w:rPr>
            </w:pPr>
            <w:r w:rsidRPr="0054713D">
              <w:rPr>
                <w:rFonts w:cs="Arial"/>
                <w:b/>
                <w:sz w:val="20"/>
              </w:rPr>
              <w:t>Rok</w:t>
            </w:r>
          </w:p>
        </w:tc>
        <w:tc>
          <w:tcPr>
            <w:tcW w:w="865" w:type="dxa"/>
            <w:vAlign w:val="center"/>
          </w:tcPr>
          <w:p w14:paraId="092B26F5" w14:textId="77777777" w:rsidR="001676E4" w:rsidRPr="0054713D" w:rsidRDefault="001676E4" w:rsidP="003D66E5">
            <w:pPr>
              <w:tabs>
                <w:tab w:val="left" w:pos="426"/>
              </w:tabs>
              <w:spacing w:after="120"/>
              <w:jc w:val="center"/>
              <w:rPr>
                <w:rFonts w:cs="Arial"/>
                <w:b/>
                <w:sz w:val="20"/>
              </w:rPr>
            </w:pPr>
            <w:r w:rsidRPr="0054713D">
              <w:rPr>
                <w:rFonts w:cs="Arial"/>
                <w:b/>
                <w:sz w:val="20"/>
              </w:rPr>
              <w:t>Liczba gmin</w:t>
            </w:r>
          </w:p>
        </w:tc>
        <w:tc>
          <w:tcPr>
            <w:tcW w:w="1701" w:type="dxa"/>
            <w:vAlign w:val="center"/>
          </w:tcPr>
          <w:p w14:paraId="5782412C" w14:textId="77777777" w:rsidR="001676E4" w:rsidRPr="0054713D" w:rsidRDefault="001676E4" w:rsidP="003D66E5">
            <w:pPr>
              <w:tabs>
                <w:tab w:val="left" w:pos="426"/>
              </w:tabs>
              <w:spacing w:after="120"/>
              <w:jc w:val="center"/>
              <w:rPr>
                <w:rFonts w:cs="Arial"/>
                <w:b/>
                <w:sz w:val="20"/>
              </w:rPr>
            </w:pPr>
            <w:r w:rsidRPr="0054713D">
              <w:rPr>
                <w:rFonts w:cs="Arial"/>
                <w:b/>
                <w:sz w:val="20"/>
              </w:rPr>
              <w:t>Liczba uczniów uczestniczących w tych programach</w:t>
            </w:r>
          </w:p>
        </w:tc>
        <w:tc>
          <w:tcPr>
            <w:tcW w:w="1701" w:type="dxa"/>
            <w:vAlign w:val="center"/>
          </w:tcPr>
          <w:p w14:paraId="3B0B095B" w14:textId="77777777" w:rsidR="001676E4" w:rsidRPr="0054713D" w:rsidRDefault="001676E4" w:rsidP="003D66E5">
            <w:pPr>
              <w:tabs>
                <w:tab w:val="left" w:pos="426"/>
              </w:tabs>
              <w:spacing w:after="120"/>
              <w:jc w:val="center"/>
              <w:rPr>
                <w:rFonts w:cs="Arial"/>
                <w:b/>
                <w:sz w:val="20"/>
              </w:rPr>
            </w:pPr>
            <w:r w:rsidRPr="0054713D">
              <w:rPr>
                <w:rFonts w:cs="Arial"/>
                <w:b/>
                <w:sz w:val="20"/>
              </w:rPr>
              <w:t>Liczba nauczycieli lub wychowawców uczestniczących w tych programach</w:t>
            </w:r>
          </w:p>
        </w:tc>
        <w:tc>
          <w:tcPr>
            <w:tcW w:w="1701" w:type="dxa"/>
            <w:vAlign w:val="center"/>
          </w:tcPr>
          <w:p w14:paraId="3172AFC4" w14:textId="77777777" w:rsidR="001676E4" w:rsidRPr="0054713D" w:rsidRDefault="001676E4" w:rsidP="003D66E5">
            <w:pPr>
              <w:tabs>
                <w:tab w:val="left" w:pos="426"/>
              </w:tabs>
              <w:spacing w:after="120"/>
              <w:jc w:val="center"/>
              <w:rPr>
                <w:rFonts w:cs="Arial"/>
                <w:b/>
                <w:sz w:val="20"/>
              </w:rPr>
            </w:pPr>
            <w:r w:rsidRPr="0054713D">
              <w:rPr>
                <w:rFonts w:cs="Arial"/>
                <w:b/>
                <w:sz w:val="20"/>
              </w:rPr>
              <w:t>Liczba rodziców uczestniczących w tych programach</w:t>
            </w:r>
          </w:p>
        </w:tc>
        <w:tc>
          <w:tcPr>
            <w:tcW w:w="2268" w:type="dxa"/>
            <w:vAlign w:val="center"/>
          </w:tcPr>
          <w:p w14:paraId="17CDC587" w14:textId="77777777" w:rsidR="001676E4" w:rsidRPr="0054713D" w:rsidRDefault="001676E4" w:rsidP="003D66E5">
            <w:pPr>
              <w:tabs>
                <w:tab w:val="left" w:pos="426"/>
              </w:tabs>
              <w:spacing w:after="120"/>
              <w:jc w:val="center"/>
              <w:rPr>
                <w:rFonts w:cs="Arial"/>
                <w:b/>
                <w:sz w:val="20"/>
              </w:rPr>
            </w:pPr>
            <w:r w:rsidRPr="0054713D">
              <w:rPr>
                <w:rFonts w:cs="Arial"/>
                <w:b/>
                <w:sz w:val="20"/>
              </w:rPr>
              <w:t>Wysokość środków finansowych przeznaczonych na realizację programów innych niż rekomendowane z obszaru profilaktyki selektywnej</w:t>
            </w:r>
            <w:r w:rsidRPr="0054713D">
              <w:rPr>
                <w:rFonts w:cs="Arial"/>
                <w:b/>
                <w:bCs/>
                <w:sz w:val="20"/>
              </w:rPr>
              <w:t xml:space="preserve"> dla młodzieży z grup ryzyka</w:t>
            </w:r>
            <w:r w:rsidRPr="0054713D">
              <w:rPr>
                <w:rFonts w:cs="Arial"/>
                <w:b/>
                <w:sz w:val="20"/>
              </w:rPr>
              <w:t>(w zł)</w:t>
            </w:r>
          </w:p>
        </w:tc>
      </w:tr>
      <w:tr w:rsidR="001676E4" w:rsidRPr="0054713D" w14:paraId="0E831E4E" w14:textId="77777777" w:rsidTr="003D66E5">
        <w:tc>
          <w:tcPr>
            <w:tcW w:w="723" w:type="dxa"/>
            <w:vAlign w:val="center"/>
          </w:tcPr>
          <w:p w14:paraId="6F54E405"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2021</w:t>
            </w:r>
          </w:p>
        </w:tc>
        <w:tc>
          <w:tcPr>
            <w:tcW w:w="865" w:type="dxa"/>
            <w:vAlign w:val="center"/>
          </w:tcPr>
          <w:p w14:paraId="26BC8E2D"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13</w:t>
            </w:r>
          </w:p>
        </w:tc>
        <w:tc>
          <w:tcPr>
            <w:tcW w:w="1701" w:type="dxa"/>
            <w:vAlign w:val="center"/>
          </w:tcPr>
          <w:p w14:paraId="2AA71FA7"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1 404</w:t>
            </w:r>
          </w:p>
        </w:tc>
        <w:tc>
          <w:tcPr>
            <w:tcW w:w="1701" w:type="dxa"/>
            <w:vAlign w:val="center"/>
          </w:tcPr>
          <w:p w14:paraId="68761232"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38</w:t>
            </w:r>
          </w:p>
        </w:tc>
        <w:tc>
          <w:tcPr>
            <w:tcW w:w="1701" w:type="dxa"/>
            <w:vAlign w:val="center"/>
          </w:tcPr>
          <w:p w14:paraId="14A501C7"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322</w:t>
            </w:r>
          </w:p>
        </w:tc>
        <w:tc>
          <w:tcPr>
            <w:tcW w:w="2268" w:type="dxa"/>
            <w:vAlign w:val="center"/>
          </w:tcPr>
          <w:p w14:paraId="1941DB34"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279 005,29</w:t>
            </w:r>
          </w:p>
        </w:tc>
      </w:tr>
      <w:tr w:rsidR="001676E4" w:rsidRPr="0054713D" w14:paraId="7CA6F0BC" w14:textId="77777777" w:rsidTr="003D66E5">
        <w:tc>
          <w:tcPr>
            <w:tcW w:w="723" w:type="dxa"/>
            <w:vAlign w:val="center"/>
          </w:tcPr>
          <w:p w14:paraId="572E4397"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2022</w:t>
            </w:r>
          </w:p>
        </w:tc>
        <w:tc>
          <w:tcPr>
            <w:tcW w:w="865" w:type="dxa"/>
            <w:vAlign w:val="center"/>
          </w:tcPr>
          <w:p w14:paraId="24E3ECF8"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15</w:t>
            </w:r>
          </w:p>
        </w:tc>
        <w:tc>
          <w:tcPr>
            <w:tcW w:w="1701" w:type="dxa"/>
            <w:vAlign w:val="center"/>
          </w:tcPr>
          <w:p w14:paraId="5706BC43"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3 107</w:t>
            </w:r>
          </w:p>
        </w:tc>
        <w:tc>
          <w:tcPr>
            <w:tcW w:w="1701" w:type="dxa"/>
            <w:vAlign w:val="center"/>
          </w:tcPr>
          <w:p w14:paraId="38712BD5"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86</w:t>
            </w:r>
          </w:p>
        </w:tc>
        <w:tc>
          <w:tcPr>
            <w:tcW w:w="1701" w:type="dxa"/>
            <w:vAlign w:val="center"/>
          </w:tcPr>
          <w:p w14:paraId="68AB6DE2"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1 112</w:t>
            </w:r>
          </w:p>
        </w:tc>
        <w:tc>
          <w:tcPr>
            <w:tcW w:w="2268" w:type="dxa"/>
            <w:vAlign w:val="center"/>
          </w:tcPr>
          <w:p w14:paraId="13A35956"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352 341,17</w:t>
            </w:r>
          </w:p>
        </w:tc>
      </w:tr>
      <w:tr w:rsidR="001676E4" w:rsidRPr="0054713D" w14:paraId="46263A25" w14:textId="77777777" w:rsidTr="003D66E5">
        <w:trPr>
          <w:trHeight w:val="439"/>
        </w:trPr>
        <w:tc>
          <w:tcPr>
            <w:tcW w:w="723" w:type="dxa"/>
            <w:vAlign w:val="center"/>
          </w:tcPr>
          <w:p w14:paraId="2B6E5ADA"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2023</w:t>
            </w:r>
          </w:p>
        </w:tc>
        <w:tc>
          <w:tcPr>
            <w:tcW w:w="865" w:type="dxa"/>
            <w:vAlign w:val="center"/>
          </w:tcPr>
          <w:p w14:paraId="43A02F18"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11</w:t>
            </w:r>
          </w:p>
        </w:tc>
        <w:tc>
          <w:tcPr>
            <w:tcW w:w="1701" w:type="dxa"/>
            <w:vAlign w:val="center"/>
          </w:tcPr>
          <w:p w14:paraId="733B73A6"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1 823</w:t>
            </w:r>
          </w:p>
        </w:tc>
        <w:tc>
          <w:tcPr>
            <w:tcW w:w="1701" w:type="dxa"/>
            <w:vAlign w:val="center"/>
          </w:tcPr>
          <w:p w14:paraId="4AD08F88"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166</w:t>
            </w:r>
          </w:p>
        </w:tc>
        <w:tc>
          <w:tcPr>
            <w:tcW w:w="1701" w:type="dxa"/>
            <w:vAlign w:val="center"/>
          </w:tcPr>
          <w:p w14:paraId="3E1F215C"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704</w:t>
            </w:r>
          </w:p>
        </w:tc>
        <w:tc>
          <w:tcPr>
            <w:tcW w:w="2268" w:type="dxa"/>
            <w:vAlign w:val="center"/>
          </w:tcPr>
          <w:p w14:paraId="4B4F8ECD" w14:textId="77777777" w:rsidR="001676E4" w:rsidRPr="0054713D" w:rsidRDefault="001676E4" w:rsidP="003D66E5">
            <w:pPr>
              <w:tabs>
                <w:tab w:val="left" w:pos="426"/>
              </w:tabs>
              <w:spacing w:after="120" w:line="240" w:lineRule="auto"/>
              <w:jc w:val="center"/>
              <w:rPr>
                <w:rFonts w:cs="Arial"/>
                <w:bCs/>
                <w:sz w:val="20"/>
              </w:rPr>
            </w:pPr>
            <w:r w:rsidRPr="0054713D">
              <w:rPr>
                <w:rFonts w:cs="Arial"/>
                <w:bCs/>
                <w:sz w:val="20"/>
              </w:rPr>
              <w:t>603 157,90</w:t>
            </w:r>
          </w:p>
        </w:tc>
      </w:tr>
    </w:tbl>
    <w:p w14:paraId="439177F4" w14:textId="299A974A" w:rsidR="001676E4" w:rsidRPr="004B3E03" w:rsidRDefault="001676E4" w:rsidP="001676E4">
      <w:pPr>
        <w:spacing w:after="240" w:line="240" w:lineRule="auto"/>
        <w:ind w:right="284"/>
        <w:jc w:val="both"/>
        <w:rPr>
          <w:rFonts w:cs="Arial"/>
          <w:color w:val="000000"/>
          <w:sz w:val="16"/>
          <w:szCs w:val="16"/>
        </w:rPr>
      </w:pPr>
      <w:r w:rsidRPr="004B3E03">
        <w:rPr>
          <w:rFonts w:cs="Arial"/>
          <w:color w:val="000000"/>
          <w:sz w:val="16"/>
          <w:szCs w:val="16"/>
        </w:rPr>
        <w:t>Sprawozdania z działalności samorządów gminnych w zakresie profilaktyki i rozwiązywania problemów alkoholowych (Ankieta G1) za 20</w:t>
      </w:r>
      <w:r w:rsidR="002C6CA5">
        <w:rPr>
          <w:rFonts w:cs="Arial"/>
          <w:color w:val="000000"/>
          <w:sz w:val="16"/>
          <w:szCs w:val="16"/>
        </w:rPr>
        <w:t>21</w:t>
      </w:r>
      <w:r w:rsidRPr="004B3E03">
        <w:rPr>
          <w:rFonts w:cs="Arial"/>
          <w:color w:val="000000"/>
          <w:sz w:val="16"/>
          <w:szCs w:val="16"/>
        </w:rPr>
        <w:t>-202</w:t>
      </w:r>
      <w:r w:rsidR="002C6CA5">
        <w:rPr>
          <w:rFonts w:cs="Arial"/>
          <w:color w:val="000000"/>
          <w:sz w:val="16"/>
          <w:szCs w:val="16"/>
        </w:rPr>
        <w:t>2</w:t>
      </w:r>
      <w:r w:rsidRPr="004B3E03">
        <w:rPr>
          <w:rFonts w:cs="Arial"/>
          <w:color w:val="000000"/>
          <w:sz w:val="16"/>
          <w:szCs w:val="16"/>
        </w:rPr>
        <w:t xml:space="preserve"> r., PARPA oraz PROFILAKTYKA I ROZWIĄZYWANIE PROBLEMÓW UZALEŻNIEŃ W POLSCE W SAMORZĄDACH LOKALNYCH w 2023 roku, Zestawienia statystyczne, KCPU</w:t>
      </w:r>
    </w:p>
    <w:p w14:paraId="3EB3B5AA" w14:textId="75B9DC2D" w:rsidR="001676E4" w:rsidRPr="0054713D" w:rsidRDefault="001676E4" w:rsidP="001676E4">
      <w:pPr>
        <w:pStyle w:val="Legenda"/>
        <w:keepNext/>
        <w:rPr>
          <w:sz w:val="20"/>
          <w:szCs w:val="16"/>
        </w:rPr>
      </w:pPr>
      <w:bookmarkStart w:id="38" w:name="_Toc214279692"/>
      <w:r w:rsidRPr="0054713D">
        <w:rPr>
          <w:sz w:val="20"/>
          <w:szCs w:val="16"/>
        </w:rPr>
        <w:lastRenderedPageBreak/>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7</w:t>
      </w:r>
      <w:r w:rsidRPr="0054713D">
        <w:rPr>
          <w:sz w:val="20"/>
          <w:szCs w:val="16"/>
        </w:rPr>
        <w:fldChar w:fldCharType="end"/>
      </w:r>
      <w:r w:rsidRPr="0054713D">
        <w:rPr>
          <w:sz w:val="20"/>
          <w:szCs w:val="16"/>
        </w:rPr>
        <w:t>. Inne niż rekomendowane programy profilaktyczne z obszaru profilaktyki wskazującej realizowane na terenie gmin w latach 2021-2023</w:t>
      </w:r>
      <w:bookmarkEnd w:id="38"/>
    </w:p>
    <w:tbl>
      <w:tblPr>
        <w:tblStyle w:val="Tabela-Siatka"/>
        <w:tblW w:w="8959" w:type="dxa"/>
        <w:tblInd w:w="108" w:type="dxa"/>
        <w:tblLayout w:type="fixed"/>
        <w:tblLook w:val="04A0" w:firstRow="1" w:lastRow="0" w:firstColumn="1" w:lastColumn="0" w:noHBand="0" w:noVBand="1"/>
      </w:tblPr>
      <w:tblGrid>
        <w:gridCol w:w="723"/>
        <w:gridCol w:w="865"/>
        <w:gridCol w:w="1701"/>
        <w:gridCol w:w="1701"/>
        <w:gridCol w:w="1701"/>
        <w:gridCol w:w="2268"/>
      </w:tblGrid>
      <w:tr w:rsidR="001676E4" w:rsidRPr="0054713D" w14:paraId="34779CE3" w14:textId="77777777" w:rsidTr="003D66E5">
        <w:trPr>
          <w:tblHeader/>
        </w:trPr>
        <w:tc>
          <w:tcPr>
            <w:tcW w:w="723" w:type="dxa"/>
            <w:vAlign w:val="center"/>
          </w:tcPr>
          <w:p w14:paraId="0F4D156D" w14:textId="77777777" w:rsidR="001676E4" w:rsidRPr="0054713D" w:rsidRDefault="001676E4" w:rsidP="003D66E5">
            <w:pPr>
              <w:tabs>
                <w:tab w:val="left" w:pos="426"/>
              </w:tabs>
              <w:spacing w:after="120"/>
              <w:jc w:val="center"/>
              <w:rPr>
                <w:rFonts w:cs="Arial"/>
                <w:b/>
                <w:sz w:val="20"/>
                <w:szCs w:val="16"/>
              </w:rPr>
            </w:pPr>
            <w:r w:rsidRPr="0054713D">
              <w:rPr>
                <w:rFonts w:cs="Arial"/>
                <w:b/>
                <w:sz w:val="20"/>
                <w:szCs w:val="16"/>
              </w:rPr>
              <w:t>Rok</w:t>
            </w:r>
          </w:p>
        </w:tc>
        <w:tc>
          <w:tcPr>
            <w:tcW w:w="865" w:type="dxa"/>
            <w:vAlign w:val="center"/>
          </w:tcPr>
          <w:p w14:paraId="1B3BA1D5" w14:textId="77777777" w:rsidR="001676E4" w:rsidRPr="0054713D" w:rsidRDefault="001676E4" w:rsidP="003D66E5">
            <w:pPr>
              <w:tabs>
                <w:tab w:val="left" w:pos="426"/>
              </w:tabs>
              <w:spacing w:after="120"/>
              <w:jc w:val="center"/>
              <w:rPr>
                <w:rFonts w:cs="Arial"/>
                <w:b/>
                <w:sz w:val="20"/>
                <w:szCs w:val="16"/>
              </w:rPr>
            </w:pPr>
            <w:r w:rsidRPr="0054713D">
              <w:rPr>
                <w:rFonts w:cs="Arial"/>
                <w:b/>
                <w:sz w:val="20"/>
                <w:szCs w:val="16"/>
              </w:rPr>
              <w:t>Liczba gmin</w:t>
            </w:r>
          </w:p>
        </w:tc>
        <w:tc>
          <w:tcPr>
            <w:tcW w:w="1701" w:type="dxa"/>
            <w:vAlign w:val="center"/>
          </w:tcPr>
          <w:p w14:paraId="59BC3ACC" w14:textId="77777777" w:rsidR="001676E4" w:rsidRPr="0054713D" w:rsidRDefault="001676E4" w:rsidP="003D66E5">
            <w:pPr>
              <w:tabs>
                <w:tab w:val="left" w:pos="426"/>
              </w:tabs>
              <w:spacing w:after="120"/>
              <w:jc w:val="center"/>
              <w:rPr>
                <w:rFonts w:cs="Arial"/>
                <w:b/>
                <w:sz w:val="20"/>
                <w:szCs w:val="16"/>
              </w:rPr>
            </w:pPr>
            <w:r w:rsidRPr="0054713D">
              <w:rPr>
                <w:rFonts w:cs="Arial"/>
                <w:b/>
                <w:sz w:val="20"/>
                <w:szCs w:val="16"/>
              </w:rPr>
              <w:t>Liczba uczniów uczestniczących w tych programach</w:t>
            </w:r>
          </w:p>
        </w:tc>
        <w:tc>
          <w:tcPr>
            <w:tcW w:w="1701" w:type="dxa"/>
            <w:vAlign w:val="center"/>
          </w:tcPr>
          <w:p w14:paraId="25289CD2" w14:textId="77777777" w:rsidR="001676E4" w:rsidRPr="0054713D" w:rsidRDefault="001676E4" w:rsidP="003D66E5">
            <w:pPr>
              <w:tabs>
                <w:tab w:val="left" w:pos="426"/>
              </w:tabs>
              <w:spacing w:after="120"/>
              <w:jc w:val="center"/>
              <w:rPr>
                <w:rFonts w:cs="Arial"/>
                <w:b/>
                <w:sz w:val="20"/>
                <w:szCs w:val="16"/>
              </w:rPr>
            </w:pPr>
            <w:r w:rsidRPr="0054713D">
              <w:rPr>
                <w:rFonts w:cs="Arial"/>
                <w:b/>
                <w:sz w:val="20"/>
                <w:szCs w:val="16"/>
              </w:rPr>
              <w:t>Liczba nauczycieli lub wychowawców uczestniczących w tych programach</w:t>
            </w:r>
          </w:p>
        </w:tc>
        <w:tc>
          <w:tcPr>
            <w:tcW w:w="1701" w:type="dxa"/>
            <w:vAlign w:val="center"/>
          </w:tcPr>
          <w:p w14:paraId="2214EFAB" w14:textId="77777777" w:rsidR="001676E4" w:rsidRPr="0054713D" w:rsidRDefault="001676E4" w:rsidP="003D66E5">
            <w:pPr>
              <w:tabs>
                <w:tab w:val="left" w:pos="426"/>
              </w:tabs>
              <w:spacing w:after="120"/>
              <w:jc w:val="center"/>
              <w:rPr>
                <w:rFonts w:cs="Arial"/>
                <w:b/>
                <w:sz w:val="20"/>
                <w:szCs w:val="16"/>
              </w:rPr>
            </w:pPr>
            <w:r w:rsidRPr="0054713D">
              <w:rPr>
                <w:rFonts w:cs="Arial"/>
                <w:b/>
                <w:sz w:val="20"/>
                <w:szCs w:val="16"/>
              </w:rPr>
              <w:t>Liczba rodziców uczestniczących w tych programach</w:t>
            </w:r>
          </w:p>
        </w:tc>
        <w:tc>
          <w:tcPr>
            <w:tcW w:w="2268" w:type="dxa"/>
            <w:vAlign w:val="center"/>
          </w:tcPr>
          <w:p w14:paraId="183B429F" w14:textId="77777777" w:rsidR="001676E4" w:rsidRPr="0054713D" w:rsidRDefault="001676E4" w:rsidP="003D66E5">
            <w:pPr>
              <w:tabs>
                <w:tab w:val="left" w:pos="426"/>
              </w:tabs>
              <w:spacing w:after="120"/>
              <w:jc w:val="center"/>
              <w:rPr>
                <w:rFonts w:cs="Arial"/>
                <w:b/>
                <w:sz w:val="20"/>
                <w:szCs w:val="16"/>
              </w:rPr>
            </w:pPr>
            <w:r w:rsidRPr="0054713D">
              <w:rPr>
                <w:rFonts w:cs="Arial"/>
                <w:b/>
                <w:sz w:val="20"/>
                <w:szCs w:val="16"/>
              </w:rPr>
              <w:t>Wysokość środków finansowych przeznaczonych na realizację programów innych niż rekomendowane z obszaru profilaktyki wskazującej</w:t>
            </w:r>
            <w:r w:rsidRPr="0054713D">
              <w:rPr>
                <w:rFonts w:cs="Arial"/>
                <w:b/>
                <w:bCs/>
                <w:sz w:val="20"/>
                <w:szCs w:val="16"/>
              </w:rPr>
              <w:t>(</w:t>
            </w:r>
            <w:r w:rsidRPr="0054713D">
              <w:rPr>
                <w:rFonts w:cs="Arial"/>
                <w:b/>
                <w:sz w:val="20"/>
                <w:szCs w:val="16"/>
              </w:rPr>
              <w:t>w zł)</w:t>
            </w:r>
          </w:p>
        </w:tc>
      </w:tr>
      <w:tr w:rsidR="001676E4" w:rsidRPr="0054713D" w14:paraId="2AF989C6" w14:textId="77777777" w:rsidTr="003D66E5">
        <w:tc>
          <w:tcPr>
            <w:tcW w:w="723" w:type="dxa"/>
            <w:vAlign w:val="center"/>
          </w:tcPr>
          <w:p w14:paraId="6BCA831C"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2021</w:t>
            </w:r>
          </w:p>
        </w:tc>
        <w:tc>
          <w:tcPr>
            <w:tcW w:w="865" w:type="dxa"/>
            <w:vAlign w:val="center"/>
          </w:tcPr>
          <w:p w14:paraId="5314B06C"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7</w:t>
            </w:r>
          </w:p>
        </w:tc>
        <w:tc>
          <w:tcPr>
            <w:tcW w:w="1701" w:type="dxa"/>
            <w:vAlign w:val="center"/>
          </w:tcPr>
          <w:p w14:paraId="5BC104C3"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450</w:t>
            </w:r>
          </w:p>
        </w:tc>
        <w:tc>
          <w:tcPr>
            <w:tcW w:w="1701" w:type="dxa"/>
            <w:vAlign w:val="center"/>
          </w:tcPr>
          <w:p w14:paraId="16E08B67"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7</w:t>
            </w:r>
          </w:p>
        </w:tc>
        <w:tc>
          <w:tcPr>
            <w:tcW w:w="1701" w:type="dxa"/>
            <w:vAlign w:val="center"/>
          </w:tcPr>
          <w:p w14:paraId="3F50AABC"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2</w:t>
            </w:r>
          </w:p>
        </w:tc>
        <w:tc>
          <w:tcPr>
            <w:tcW w:w="2268" w:type="dxa"/>
            <w:vAlign w:val="center"/>
          </w:tcPr>
          <w:p w14:paraId="14B2D09B"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43 720,00</w:t>
            </w:r>
          </w:p>
        </w:tc>
      </w:tr>
      <w:tr w:rsidR="001676E4" w:rsidRPr="0054713D" w14:paraId="5D849997" w14:textId="77777777" w:rsidTr="003D66E5">
        <w:tc>
          <w:tcPr>
            <w:tcW w:w="723" w:type="dxa"/>
            <w:vAlign w:val="center"/>
          </w:tcPr>
          <w:p w14:paraId="42274500"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2022</w:t>
            </w:r>
          </w:p>
        </w:tc>
        <w:tc>
          <w:tcPr>
            <w:tcW w:w="865" w:type="dxa"/>
            <w:vAlign w:val="center"/>
          </w:tcPr>
          <w:p w14:paraId="778EE331"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12</w:t>
            </w:r>
          </w:p>
        </w:tc>
        <w:tc>
          <w:tcPr>
            <w:tcW w:w="1701" w:type="dxa"/>
            <w:vAlign w:val="center"/>
          </w:tcPr>
          <w:p w14:paraId="3FAED8F8"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1 593</w:t>
            </w:r>
          </w:p>
        </w:tc>
        <w:tc>
          <w:tcPr>
            <w:tcW w:w="1701" w:type="dxa"/>
            <w:vAlign w:val="center"/>
          </w:tcPr>
          <w:p w14:paraId="31C679D6"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164</w:t>
            </w:r>
          </w:p>
        </w:tc>
        <w:tc>
          <w:tcPr>
            <w:tcW w:w="1701" w:type="dxa"/>
            <w:vAlign w:val="center"/>
          </w:tcPr>
          <w:p w14:paraId="263CD51E"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96</w:t>
            </w:r>
          </w:p>
        </w:tc>
        <w:tc>
          <w:tcPr>
            <w:tcW w:w="2268" w:type="dxa"/>
            <w:vAlign w:val="center"/>
          </w:tcPr>
          <w:p w14:paraId="06C8B997"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181 840,00</w:t>
            </w:r>
          </w:p>
        </w:tc>
      </w:tr>
      <w:tr w:rsidR="001676E4" w:rsidRPr="0054713D" w14:paraId="4290A503" w14:textId="77777777" w:rsidTr="003D66E5">
        <w:tc>
          <w:tcPr>
            <w:tcW w:w="723" w:type="dxa"/>
            <w:vAlign w:val="center"/>
          </w:tcPr>
          <w:p w14:paraId="4305177D" w14:textId="2AAAAFED" w:rsidR="001676E4" w:rsidRPr="0054713D" w:rsidRDefault="001676E4" w:rsidP="00904284">
            <w:pPr>
              <w:tabs>
                <w:tab w:val="left" w:pos="426"/>
              </w:tabs>
              <w:spacing w:after="120" w:line="240" w:lineRule="auto"/>
              <w:rPr>
                <w:rFonts w:cs="Arial"/>
                <w:bCs/>
                <w:sz w:val="20"/>
                <w:szCs w:val="16"/>
              </w:rPr>
            </w:pPr>
          </w:p>
          <w:p w14:paraId="3562E3E3"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2023</w:t>
            </w:r>
          </w:p>
        </w:tc>
        <w:tc>
          <w:tcPr>
            <w:tcW w:w="865" w:type="dxa"/>
            <w:vAlign w:val="center"/>
          </w:tcPr>
          <w:p w14:paraId="2DCD4E43"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11</w:t>
            </w:r>
          </w:p>
        </w:tc>
        <w:tc>
          <w:tcPr>
            <w:tcW w:w="1701" w:type="dxa"/>
            <w:vAlign w:val="center"/>
          </w:tcPr>
          <w:p w14:paraId="38402F2A"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1 823</w:t>
            </w:r>
          </w:p>
        </w:tc>
        <w:tc>
          <w:tcPr>
            <w:tcW w:w="1701" w:type="dxa"/>
            <w:vAlign w:val="center"/>
          </w:tcPr>
          <w:p w14:paraId="115E3B66"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166</w:t>
            </w:r>
          </w:p>
        </w:tc>
        <w:tc>
          <w:tcPr>
            <w:tcW w:w="1701" w:type="dxa"/>
            <w:vAlign w:val="center"/>
          </w:tcPr>
          <w:p w14:paraId="67196310"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704</w:t>
            </w:r>
          </w:p>
        </w:tc>
        <w:tc>
          <w:tcPr>
            <w:tcW w:w="2268" w:type="dxa"/>
            <w:vAlign w:val="center"/>
          </w:tcPr>
          <w:p w14:paraId="53FA40B1" w14:textId="77777777" w:rsidR="001676E4" w:rsidRPr="0054713D" w:rsidRDefault="001676E4" w:rsidP="003D66E5">
            <w:pPr>
              <w:tabs>
                <w:tab w:val="left" w:pos="426"/>
              </w:tabs>
              <w:spacing w:after="120" w:line="240" w:lineRule="auto"/>
              <w:jc w:val="center"/>
              <w:rPr>
                <w:rFonts w:cs="Arial"/>
                <w:bCs/>
                <w:sz w:val="20"/>
                <w:szCs w:val="16"/>
              </w:rPr>
            </w:pPr>
            <w:r w:rsidRPr="0054713D">
              <w:rPr>
                <w:rFonts w:cs="Arial"/>
                <w:bCs/>
                <w:sz w:val="20"/>
                <w:szCs w:val="16"/>
              </w:rPr>
              <w:t>603 157,90</w:t>
            </w:r>
          </w:p>
        </w:tc>
      </w:tr>
    </w:tbl>
    <w:p w14:paraId="42172E58" w14:textId="3A51A0B1" w:rsidR="001676E4" w:rsidRPr="004B3E03" w:rsidRDefault="001676E4" w:rsidP="001676E4">
      <w:pPr>
        <w:spacing w:after="240" w:line="240" w:lineRule="auto"/>
        <w:ind w:right="284"/>
        <w:jc w:val="both"/>
        <w:rPr>
          <w:rFonts w:cs="Arial"/>
          <w:color w:val="000000"/>
          <w:sz w:val="16"/>
          <w:szCs w:val="16"/>
        </w:rPr>
      </w:pPr>
      <w:r w:rsidRPr="004B3E03">
        <w:rPr>
          <w:rFonts w:cs="Arial"/>
          <w:color w:val="000000"/>
          <w:sz w:val="16"/>
          <w:szCs w:val="16"/>
        </w:rPr>
        <w:t>Sprawozdania z działalności samorządów gminnych w zakresie profilaktyki i rozwiązywania problemów alkoholowych (Ankieta G1) za 20</w:t>
      </w:r>
      <w:r w:rsidR="002C6CA5">
        <w:rPr>
          <w:rFonts w:cs="Arial"/>
          <w:color w:val="000000"/>
          <w:sz w:val="16"/>
          <w:szCs w:val="16"/>
        </w:rPr>
        <w:t>21</w:t>
      </w:r>
      <w:r w:rsidRPr="004B3E03">
        <w:rPr>
          <w:rFonts w:cs="Arial"/>
          <w:color w:val="000000"/>
          <w:sz w:val="16"/>
          <w:szCs w:val="16"/>
        </w:rPr>
        <w:t>-202</w:t>
      </w:r>
      <w:r w:rsidR="002C6CA5">
        <w:rPr>
          <w:rFonts w:cs="Arial"/>
          <w:color w:val="000000"/>
          <w:sz w:val="16"/>
          <w:szCs w:val="16"/>
        </w:rPr>
        <w:t>2</w:t>
      </w:r>
      <w:r w:rsidRPr="004B3E03">
        <w:rPr>
          <w:rFonts w:cs="Arial"/>
          <w:color w:val="000000"/>
          <w:sz w:val="16"/>
          <w:szCs w:val="16"/>
        </w:rPr>
        <w:t xml:space="preserve"> r., PARPA PROFILAKTYKA I ROZWIĄZYWANIE PROBLEMÓW UZALEŻNIEŃ W POLSCE W SAMORZĄDACH LOKALNYCH w 2023 roku, Zestawienia statystyczne, KCPU </w:t>
      </w:r>
    </w:p>
    <w:p w14:paraId="0E59C009" w14:textId="77777777" w:rsidR="001676E4" w:rsidRPr="0031736D" w:rsidRDefault="001676E4" w:rsidP="001676E4">
      <w:pPr>
        <w:spacing w:after="0" w:line="360" w:lineRule="auto"/>
        <w:ind w:firstLine="567"/>
        <w:jc w:val="both"/>
        <w:rPr>
          <w:rFonts w:cs="Arial"/>
          <w:bCs/>
          <w:sz w:val="22"/>
          <w:szCs w:val="22"/>
        </w:rPr>
      </w:pPr>
      <w:r w:rsidRPr="0031736D">
        <w:rPr>
          <w:rFonts w:cs="Arial"/>
          <w:bCs/>
          <w:sz w:val="22"/>
          <w:szCs w:val="22"/>
        </w:rPr>
        <w:t>Jak wskazują wyniki badań naukowych, w Polsce 943 tys. dzieci i młodzieży w wieku poniżej 18 lat (ok. 13% tej grupy wiekowej) ma rodziców z problemami wynikającymi ze spożywania alkoholu</w:t>
      </w:r>
      <w:r w:rsidRPr="0031736D">
        <w:rPr>
          <w:rStyle w:val="Odwoanieprzypisudolnego"/>
          <w:rFonts w:cs="Arial"/>
          <w:bCs/>
          <w:sz w:val="22"/>
          <w:szCs w:val="22"/>
        </w:rPr>
        <w:footnoteReference w:id="18"/>
      </w:r>
      <w:r w:rsidRPr="0031736D">
        <w:rPr>
          <w:rFonts w:cs="Arial"/>
          <w:bCs/>
          <w:sz w:val="22"/>
          <w:szCs w:val="22"/>
        </w:rPr>
        <w:t xml:space="preserve">. Z powodu kumulacji niekorzystnych czynników (obciążenia genetyczne, niekorzystne środowisko rozwoju, zaniedbania wychowawcze ze strony rodziców, normy oraz wzorce rodzinne oraz środowiskowe) są to dzieci i młodzież z grupy ryzyka. Grupa ta jest szczególnie narażona na podejmowanie </w:t>
      </w:r>
      <w:proofErr w:type="spellStart"/>
      <w:r w:rsidRPr="0031736D">
        <w:rPr>
          <w:rFonts w:cs="Arial"/>
          <w:bCs/>
          <w:sz w:val="22"/>
          <w:szCs w:val="22"/>
        </w:rPr>
        <w:t>zachowań</w:t>
      </w:r>
      <w:proofErr w:type="spellEnd"/>
      <w:r w:rsidRPr="0031736D">
        <w:rPr>
          <w:rFonts w:cs="Arial"/>
          <w:bCs/>
          <w:sz w:val="22"/>
          <w:szCs w:val="22"/>
        </w:rPr>
        <w:t xml:space="preserve"> ryzykownych, do których należy inicjacja alkoholowa i ryzykowne spożywanie alkoholu. Włączenie ich w</w:t>
      </w:r>
      <w:r>
        <w:rPr>
          <w:rFonts w:cs="Arial"/>
          <w:bCs/>
          <w:sz w:val="22"/>
          <w:szCs w:val="22"/>
        </w:rPr>
        <w:t> </w:t>
      </w:r>
      <w:r w:rsidRPr="0031736D">
        <w:rPr>
          <w:rFonts w:cs="Arial"/>
          <w:bCs/>
          <w:sz w:val="22"/>
          <w:szCs w:val="22"/>
        </w:rPr>
        <w:t>program realizowany w</w:t>
      </w:r>
      <w:r>
        <w:rPr>
          <w:rFonts w:cs="Arial"/>
          <w:bCs/>
          <w:sz w:val="22"/>
          <w:szCs w:val="22"/>
        </w:rPr>
        <w:t> </w:t>
      </w:r>
      <w:r w:rsidRPr="0031736D">
        <w:rPr>
          <w:rFonts w:cs="Arial"/>
          <w:bCs/>
          <w:sz w:val="22"/>
          <w:szCs w:val="22"/>
        </w:rPr>
        <w:t>opiekuńczych oraz specjalistycznych (z programem socjoterapeutycznym) placówkach wsparcia dziennego oraz w trakcie zajęć socjoterapeutycznych i rozwojowych prowadzonych przez samorządy lokalne stanowi dla nich niezwykle istotną formę pomocy</w:t>
      </w:r>
      <w:r w:rsidRPr="0031736D">
        <w:rPr>
          <w:rStyle w:val="Odwoanieprzypisudolnego"/>
          <w:rFonts w:cs="Arial"/>
          <w:bCs/>
          <w:sz w:val="22"/>
          <w:szCs w:val="22"/>
        </w:rPr>
        <w:footnoteReference w:id="19"/>
      </w:r>
      <w:r w:rsidRPr="0031736D">
        <w:rPr>
          <w:rFonts w:cs="Arial"/>
          <w:bCs/>
          <w:sz w:val="22"/>
          <w:szCs w:val="22"/>
        </w:rPr>
        <w:t>.</w:t>
      </w:r>
    </w:p>
    <w:p w14:paraId="2428D97C" w14:textId="77777777" w:rsidR="001676E4" w:rsidRPr="0031736D" w:rsidRDefault="001676E4" w:rsidP="001676E4">
      <w:pPr>
        <w:tabs>
          <w:tab w:val="left" w:pos="426"/>
        </w:tabs>
        <w:spacing w:after="0" w:line="360" w:lineRule="auto"/>
        <w:ind w:firstLine="360"/>
        <w:jc w:val="both"/>
        <w:rPr>
          <w:rFonts w:cs="Arial"/>
          <w:bCs/>
          <w:sz w:val="22"/>
          <w:szCs w:val="22"/>
        </w:rPr>
      </w:pPr>
      <w:bookmarkStart w:id="41" w:name="_Hlk211860282"/>
      <w:r w:rsidRPr="0031736D">
        <w:rPr>
          <w:rFonts w:cs="Arial"/>
          <w:bCs/>
          <w:sz w:val="22"/>
          <w:szCs w:val="22"/>
        </w:rPr>
        <w:tab/>
        <w:t>W latach 20</w:t>
      </w:r>
      <w:r>
        <w:rPr>
          <w:rFonts w:cs="Arial"/>
          <w:bCs/>
          <w:sz w:val="22"/>
          <w:szCs w:val="22"/>
        </w:rPr>
        <w:t>2</w:t>
      </w:r>
      <w:r w:rsidRPr="0031736D">
        <w:rPr>
          <w:rFonts w:cs="Arial"/>
          <w:bCs/>
          <w:sz w:val="22"/>
          <w:szCs w:val="22"/>
        </w:rPr>
        <w:t xml:space="preserve">1-2023, w gminach województwa lubelskiego działały </w:t>
      </w:r>
      <w:bookmarkStart w:id="42" w:name="_Hlk50107994"/>
      <w:r w:rsidRPr="0031736D">
        <w:rPr>
          <w:rFonts w:cs="Arial"/>
          <w:bCs/>
          <w:sz w:val="22"/>
          <w:szCs w:val="22"/>
        </w:rPr>
        <w:t>miejsca pomocy dzieciom z rodzin z problemem alkoholowym w formie specjalistycznej - z programem socjoterapeutycznym</w:t>
      </w:r>
      <w:bookmarkEnd w:id="41"/>
      <w:bookmarkEnd w:id="42"/>
      <w:r>
        <w:rPr>
          <w:rFonts w:cs="Arial"/>
          <w:bCs/>
          <w:sz w:val="22"/>
          <w:szCs w:val="22"/>
        </w:rPr>
        <w:t xml:space="preserve">. </w:t>
      </w:r>
    </w:p>
    <w:p w14:paraId="4E2C3713" w14:textId="77777777" w:rsidR="001676E4" w:rsidRPr="004B3E03" w:rsidRDefault="001676E4" w:rsidP="001676E4">
      <w:pPr>
        <w:tabs>
          <w:tab w:val="left" w:pos="426"/>
        </w:tabs>
        <w:spacing w:after="0" w:line="360" w:lineRule="auto"/>
        <w:ind w:firstLine="360"/>
        <w:jc w:val="both"/>
        <w:rPr>
          <w:rFonts w:cs="Arial"/>
          <w:sz w:val="22"/>
          <w:szCs w:val="22"/>
        </w:rPr>
      </w:pPr>
      <w:r w:rsidRPr="00317DE2">
        <w:rPr>
          <w:rFonts w:cs="Arial"/>
          <w:sz w:val="22"/>
          <w:szCs w:val="22"/>
        </w:rPr>
        <w:t xml:space="preserve">Samorządy lokalne podejmowały </w:t>
      </w:r>
      <w:r w:rsidRPr="004B3E03">
        <w:rPr>
          <w:rFonts w:cs="Arial"/>
          <w:sz w:val="22"/>
          <w:szCs w:val="22"/>
        </w:rPr>
        <w:t>także tzw. „inne działania profilaktyczne skierowane do dzieci i młodzieży” w ramach których organizowano kolonie i obozy</w:t>
      </w:r>
      <w:r>
        <w:rPr>
          <w:rFonts w:cs="Arial"/>
          <w:sz w:val="22"/>
          <w:szCs w:val="22"/>
        </w:rPr>
        <w:t xml:space="preserve"> </w:t>
      </w:r>
      <w:r w:rsidRPr="004B3E03">
        <w:rPr>
          <w:rFonts w:cs="Arial"/>
          <w:sz w:val="22"/>
          <w:szCs w:val="22"/>
        </w:rPr>
        <w:t>z programem socjoterapeutycznym dla dzieci z rodzin z problemem alkoholowym oraz kolonie i obozy z</w:t>
      </w:r>
      <w:r>
        <w:rPr>
          <w:rFonts w:cs="Arial"/>
          <w:sz w:val="22"/>
          <w:szCs w:val="22"/>
        </w:rPr>
        <w:t> </w:t>
      </w:r>
      <w:r w:rsidRPr="004B3E03">
        <w:rPr>
          <w:rFonts w:cs="Arial"/>
          <w:sz w:val="22"/>
          <w:szCs w:val="22"/>
        </w:rPr>
        <w:t xml:space="preserve">programem zajęć profilaktycznych. Na kolonie i obozy z programem zajęć socjoterapeutycznych dla dzieci z rodzin z problemem alkoholowym wydatkowano znacznie mniejsze kwoty. </w:t>
      </w:r>
    </w:p>
    <w:p w14:paraId="1149A341" w14:textId="5FE89E17" w:rsidR="001676E4" w:rsidRPr="00317DE2" w:rsidRDefault="001676E4" w:rsidP="001676E4">
      <w:pPr>
        <w:tabs>
          <w:tab w:val="left" w:pos="426"/>
        </w:tabs>
        <w:spacing w:after="0" w:line="360" w:lineRule="auto"/>
        <w:ind w:firstLine="360"/>
        <w:jc w:val="both"/>
        <w:rPr>
          <w:rFonts w:cs="Arial"/>
          <w:b/>
          <w:bCs/>
          <w:sz w:val="22"/>
          <w:szCs w:val="22"/>
        </w:rPr>
      </w:pPr>
      <w:r w:rsidRPr="004B3E03">
        <w:rPr>
          <w:rFonts w:cs="Arial"/>
          <w:sz w:val="22"/>
          <w:szCs w:val="22"/>
        </w:rPr>
        <w:tab/>
        <w:t>Jak wynika z zestawień statystycznych PARPA/KCPU w latach 20</w:t>
      </w:r>
      <w:r>
        <w:rPr>
          <w:rFonts w:cs="Arial"/>
          <w:sz w:val="22"/>
          <w:szCs w:val="22"/>
        </w:rPr>
        <w:t>2</w:t>
      </w:r>
      <w:r w:rsidRPr="004B3E03">
        <w:rPr>
          <w:rFonts w:cs="Arial"/>
          <w:sz w:val="22"/>
          <w:szCs w:val="22"/>
        </w:rPr>
        <w:t xml:space="preserve">1-2023, w gminach województwa lubelskiego dofinansowano także inne „różne formy działań profilaktycznych”. </w:t>
      </w:r>
      <w:r w:rsidRPr="004B3E03">
        <w:rPr>
          <w:rFonts w:cs="Arial"/>
          <w:sz w:val="22"/>
          <w:szCs w:val="22"/>
        </w:rPr>
        <w:lastRenderedPageBreak/>
        <w:t>Wśród nich wymienia się jednorazowe prelekcje, pogadanki, festyny i inne imprezy plenerowe</w:t>
      </w:r>
      <w:r w:rsidRPr="00317DE2">
        <w:rPr>
          <w:rFonts w:cs="Arial"/>
          <w:sz w:val="22"/>
          <w:szCs w:val="22"/>
        </w:rPr>
        <w:t xml:space="preserve"> (poza sportowymi), imprezy sportowe, konkursy (m.in. plastyczne, literackie), </w:t>
      </w:r>
      <w:r>
        <w:rPr>
          <w:rFonts w:cs="Arial"/>
          <w:sz w:val="22"/>
          <w:szCs w:val="22"/>
        </w:rPr>
        <w:t>s</w:t>
      </w:r>
      <w:r w:rsidRPr="00317DE2">
        <w:rPr>
          <w:rFonts w:cs="Arial"/>
          <w:sz w:val="22"/>
          <w:szCs w:val="22"/>
        </w:rPr>
        <w:t xml:space="preserve">zkolenia/warsztaty dla rodziców oraz nauczycieli/wychowawców. </w:t>
      </w:r>
    </w:p>
    <w:p w14:paraId="5108B5CD" w14:textId="77777777" w:rsidR="001676E4" w:rsidRPr="00C635FB" w:rsidRDefault="001676E4" w:rsidP="001676E4">
      <w:pPr>
        <w:tabs>
          <w:tab w:val="left" w:pos="426"/>
        </w:tabs>
        <w:spacing w:after="0" w:line="360" w:lineRule="auto"/>
        <w:ind w:firstLine="360"/>
        <w:jc w:val="both"/>
        <w:rPr>
          <w:rFonts w:cs="Arial"/>
          <w:sz w:val="22"/>
          <w:szCs w:val="22"/>
        </w:rPr>
      </w:pPr>
      <w:r w:rsidRPr="00C635FB">
        <w:rPr>
          <w:rFonts w:cs="Arial"/>
          <w:sz w:val="22"/>
          <w:szCs w:val="22"/>
        </w:rPr>
        <w:t xml:space="preserve">Badania wskazują na konieczność realizacji efektywnych, długofalowych programów, uczących radzenia sobie z emocjami, dojrzałego budowania relacji z innymi, kształtujących system wartości (co przekłada się na ograniczenie w przyszłości używania substancji psychoaktywnych i podejmowania innych </w:t>
      </w:r>
      <w:proofErr w:type="spellStart"/>
      <w:r w:rsidRPr="00C635FB">
        <w:rPr>
          <w:rFonts w:cs="Arial"/>
          <w:sz w:val="22"/>
          <w:szCs w:val="22"/>
        </w:rPr>
        <w:t>zachowań</w:t>
      </w:r>
      <w:proofErr w:type="spellEnd"/>
      <w:r w:rsidRPr="00C635FB">
        <w:rPr>
          <w:rFonts w:cs="Arial"/>
          <w:sz w:val="22"/>
          <w:szCs w:val="22"/>
        </w:rPr>
        <w:t xml:space="preserve"> ryzykownych przez ich uczestników). Środki uzyskiwane z zezwoleń na sprzedaż napojów alkoholowych należy wykorzystywać w</w:t>
      </w:r>
      <w:r>
        <w:rPr>
          <w:rFonts w:cs="Arial"/>
          <w:sz w:val="22"/>
          <w:szCs w:val="22"/>
        </w:rPr>
        <w:t> </w:t>
      </w:r>
      <w:r w:rsidRPr="00C635FB">
        <w:rPr>
          <w:rFonts w:cs="Arial"/>
          <w:sz w:val="22"/>
          <w:szCs w:val="22"/>
        </w:rPr>
        <w:t>celu podejmowania skutecznych działań, podnoszących jakość</w:t>
      </w:r>
      <w:r>
        <w:rPr>
          <w:rFonts w:cs="Arial"/>
          <w:sz w:val="22"/>
          <w:szCs w:val="22"/>
        </w:rPr>
        <w:t xml:space="preserve"> </w:t>
      </w:r>
      <w:r w:rsidRPr="00C635FB">
        <w:rPr>
          <w:rFonts w:cs="Arial"/>
          <w:sz w:val="22"/>
          <w:szCs w:val="22"/>
        </w:rPr>
        <w:t>i zakres pomocy udzielanej dzieciom z rodzin z problemem alkoholowym</w:t>
      </w:r>
      <w:r w:rsidRPr="00C635FB">
        <w:rPr>
          <w:rStyle w:val="Odwoanieprzypisudolnego"/>
          <w:rFonts w:cs="Arial"/>
          <w:sz w:val="22"/>
          <w:szCs w:val="22"/>
        </w:rPr>
        <w:footnoteReference w:id="20"/>
      </w:r>
      <w:r w:rsidRPr="00C635FB">
        <w:rPr>
          <w:rFonts w:cs="Arial"/>
          <w:sz w:val="22"/>
          <w:szCs w:val="22"/>
        </w:rPr>
        <w:t>.</w:t>
      </w:r>
    </w:p>
    <w:p w14:paraId="5633545C" w14:textId="4E0F4D50" w:rsidR="001676E4" w:rsidRPr="00317DE2" w:rsidRDefault="001676E4" w:rsidP="001676E4">
      <w:pPr>
        <w:tabs>
          <w:tab w:val="left" w:pos="426"/>
        </w:tabs>
        <w:spacing w:after="0" w:line="360" w:lineRule="auto"/>
        <w:ind w:firstLine="357"/>
        <w:jc w:val="both"/>
        <w:rPr>
          <w:rFonts w:cs="Arial"/>
          <w:sz w:val="22"/>
          <w:szCs w:val="22"/>
        </w:rPr>
      </w:pPr>
      <w:r w:rsidRPr="00C635FB">
        <w:rPr>
          <w:rFonts w:cs="Arial"/>
          <w:sz w:val="22"/>
          <w:szCs w:val="22"/>
        </w:rPr>
        <w:tab/>
        <w:t>W ramach gminnego programu profilaktyki i rozwiązywania problemów alkoholowych</w:t>
      </w:r>
      <w:r w:rsidRPr="00C635FB">
        <w:rPr>
          <w:rFonts w:cs="Arial"/>
          <w:sz w:val="22"/>
          <w:szCs w:val="22"/>
        </w:rPr>
        <w:br/>
        <w:t>w województwie lubelskim realizowano działania z zakresu edukacji publicznej</w:t>
      </w:r>
      <w:r w:rsidR="008313BE">
        <w:rPr>
          <w:rFonts w:cs="Arial"/>
          <w:sz w:val="22"/>
          <w:szCs w:val="22"/>
        </w:rPr>
        <w:t>,</w:t>
      </w:r>
      <w:r w:rsidRPr="00C635FB">
        <w:rPr>
          <w:rFonts w:cs="Arial"/>
          <w:sz w:val="22"/>
          <w:szCs w:val="22"/>
        </w:rPr>
        <w:t xml:space="preserve"> do których</w:t>
      </w:r>
      <w:r w:rsidRPr="00317DE2">
        <w:rPr>
          <w:rFonts w:cs="Arial"/>
          <w:bCs/>
          <w:sz w:val="22"/>
          <w:szCs w:val="22"/>
        </w:rPr>
        <w:t xml:space="preserve"> zalicza się m.in. prowadzenie kampanii telewizyjnych i radiowych, stron internetowych, wydawanie publikacji czy dystrybucja plakatów i ulotek. </w:t>
      </w:r>
      <w:r w:rsidRPr="00317DE2">
        <w:rPr>
          <w:rFonts w:cs="Arial"/>
          <w:sz w:val="22"/>
          <w:szCs w:val="22"/>
        </w:rPr>
        <w:t xml:space="preserve"> </w:t>
      </w:r>
    </w:p>
    <w:p w14:paraId="0A3833ED" w14:textId="77777777" w:rsidR="001676E4" w:rsidRPr="00317DE2" w:rsidRDefault="001676E4" w:rsidP="00B11CBB">
      <w:pPr>
        <w:pStyle w:val="Nagwek2"/>
      </w:pPr>
      <w:r w:rsidRPr="00317DE2">
        <w:t>Sprzedaż napojów alkoholowych</w:t>
      </w:r>
    </w:p>
    <w:p w14:paraId="292CD128" w14:textId="1A51E9E4" w:rsidR="001676E4" w:rsidRPr="00317DE2" w:rsidRDefault="001676E4" w:rsidP="001676E4">
      <w:pPr>
        <w:tabs>
          <w:tab w:val="left" w:pos="426"/>
        </w:tabs>
        <w:spacing w:after="0" w:line="360" w:lineRule="auto"/>
        <w:ind w:firstLine="357"/>
        <w:jc w:val="both"/>
        <w:rPr>
          <w:rFonts w:cs="Arial"/>
          <w:sz w:val="22"/>
          <w:szCs w:val="22"/>
        </w:rPr>
      </w:pPr>
      <w:r w:rsidRPr="00317DE2">
        <w:rPr>
          <w:rFonts w:cs="Arial"/>
          <w:sz w:val="22"/>
          <w:szCs w:val="22"/>
        </w:rPr>
        <w:t>Zgodnie z ustawą z dnia 26 października 1982 r. o wychowaniu w trzeźwości</w:t>
      </w:r>
      <w:r w:rsidRPr="00317DE2">
        <w:rPr>
          <w:rFonts w:cs="Arial"/>
          <w:sz w:val="22"/>
          <w:szCs w:val="22"/>
        </w:rPr>
        <w:br/>
        <w:t>i przeciwdziałaniu alkoholizmowi (art. 12. ust. 3) rada gminy ustala zasady usytuowania na terenie gminy miejsc sprzedaży i podawania napojów alkoholowych. W województwie lubelskim, w 2021 r</w:t>
      </w:r>
      <w:r w:rsidR="008313BE">
        <w:rPr>
          <w:rFonts w:cs="Arial"/>
          <w:sz w:val="22"/>
          <w:szCs w:val="22"/>
        </w:rPr>
        <w:t>oku</w:t>
      </w:r>
      <w:r w:rsidRPr="00317DE2">
        <w:rPr>
          <w:rFonts w:cs="Arial"/>
          <w:sz w:val="22"/>
          <w:szCs w:val="22"/>
        </w:rPr>
        <w:t xml:space="preserve"> ogólna </w:t>
      </w:r>
      <w:r w:rsidRPr="004B3E03">
        <w:rPr>
          <w:rFonts w:cs="Arial"/>
          <w:sz w:val="22"/>
          <w:szCs w:val="22"/>
        </w:rPr>
        <w:t>liczba punktów sprzedaży napojów alkoholowych</w:t>
      </w:r>
      <w:r w:rsidRPr="00317DE2">
        <w:rPr>
          <w:rFonts w:cs="Arial"/>
          <w:sz w:val="22"/>
          <w:szCs w:val="22"/>
        </w:rPr>
        <w:t xml:space="preserve"> wynosiła 6 385 i była najwyższa w porównaniu do kolejnych lat: 2022 r</w:t>
      </w:r>
      <w:r w:rsidR="008313BE">
        <w:rPr>
          <w:rFonts w:cs="Arial"/>
          <w:sz w:val="22"/>
          <w:szCs w:val="22"/>
        </w:rPr>
        <w:t>ok</w:t>
      </w:r>
      <w:r w:rsidRPr="00317DE2">
        <w:rPr>
          <w:rFonts w:cs="Arial"/>
          <w:sz w:val="22"/>
          <w:szCs w:val="22"/>
        </w:rPr>
        <w:t xml:space="preserve"> – 6 113; 2023 r</w:t>
      </w:r>
      <w:r w:rsidR="008313BE">
        <w:rPr>
          <w:rFonts w:cs="Arial"/>
          <w:sz w:val="22"/>
          <w:szCs w:val="22"/>
        </w:rPr>
        <w:t>ok</w:t>
      </w:r>
      <w:r w:rsidRPr="00317DE2">
        <w:rPr>
          <w:rFonts w:cs="Arial"/>
          <w:sz w:val="22"/>
          <w:szCs w:val="22"/>
        </w:rPr>
        <w:t xml:space="preserve"> – 5 942. Z kolei liczba mieszkańców województwa przypadających na jeden punkt sprzedaży napojów alkoholowych najmniejsza była w 2021 roku i wynosiła – 315. W 2022 roku było to 328 mieszkańców, zaś w</w:t>
      </w:r>
      <w:r>
        <w:rPr>
          <w:rFonts w:cs="Arial"/>
          <w:sz w:val="22"/>
          <w:szCs w:val="22"/>
        </w:rPr>
        <w:t> </w:t>
      </w:r>
      <w:r w:rsidRPr="00317DE2">
        <w:rPr>
          <w:rFonts w:cs="Arial"/>
          <w:sz w:val="22"/>
          <w:szCs w:val="22"/>
        </w:rPr>
        <w:t>2023 r</w:t>
      </w:r>
      <w:r w:rsidR="008313BE">
        <w:rPr>
          <w:rFonts w:cs="Arial"/>
          <w:sz w:val="22"/>
          <w:szCs w:val="22"/>
        </w:rPr>
        <w:t>oku</w:t>
      </w:r>
      <w:r w:rsidRPr="00317DE2">
        <w:rPr>
          <w:rFonts w:cs="Arial"/>
          <w:sz w:val="22"/>
          <w:szCs w:val="22"/>
        </w:rPr>
        <w:t xml:space="preserve"> – 334 mieszkańców</w:t>
      </w:r>
      <w:r w:rsidR="00536E9E">
        <w:rPr>
          <w:rFonts w:cs="Arial"/>
          <w:sz w:val="22"/>
          <w:szCs w:val="22"/>
        </w:rPr>
        <w:t>.</w:t>
      </w:r>
    </w:p>
    <w:p w14:paraId="3760BF01" w14:textId="77777777" w:rsidR="001676E4" w:rsidRPr="00317DE2" w:rsidRDefault="001676E4" w:rsidP="001676E4">
      <w:pPr>
        <w:tabs>
          <w:tab w:val="left" w:pos="426"/>
        </w:tabs>
        <w:spacing w:after="0" w:line="360" w:lineRule="auto"/>
        <w:ind w:firstLine="357"/>
        <w:jc w:val="both"/>
        <w:rPr>
          <w:rFonts w:cs="Arial"/>
          <w:color w:val="000000"/>
          <w:sz w:val="22"/>
          <w:szCs w:val="22"/>
        </w:rPr>
      </w:pPr>
      <w:r w:rsidRPr="00317DE2">
        <w:rPr>
          <w:rFonts w:cs="Arial"/>
          <w:sz w:val="22"/>
          <w:szCs w:val="22"/>
        </w:rPr>
        <w:t xml:space="preserve">Z rekomendacji KCPU wynika, że </w:t>
      </w:r>
      <w:bookmarkStart w:id="44" w:name="_Hlk49775430"/>
      <w:r w:rsidRPr="00317DE2">
        <w:rPr>
          <w:rFonts w:cs="Arial"/>
          <w:sz w:val="22"/>
          <w:szCs w:val="22"/>
        </w:rPr>
        <w:t xml:space="preserve">w gminnych programach należy ujmować działania </w:t>
      </w:r>
      <w:r w:rsidRPr="00317DE2">
        <w:rPr>
          <w:rFonts w:cs="Arial"/>
          <w:color w:val="000000"/>
          <w:sz w:val="22"/>
          <w:szCs w:val="22"/>
        </w:rPr>
        <w:t xml:space="preserve">wpływające na ograniczenie dostępności alkoholu dla osób niepełnoletnich (np. ograniczanie liczby zezwoleń wydawanych na sprzedaż napojów alkoholowych, wyznaczanie obszarów lub godzin, gdzie taka sprzedaż jest zakazana, tworzenie zasad usytuowania </w:t>
      </w:r>
      <w:bookmarkEnd w:id="44"/>
      <w:r w:rsidRPr="00317DE2">
        <w:rPr>
          <w:rFonts w:cs="Arial"/>
          <w:color w:val="000000"/>
          <w:sz w:val="22"/>
          <w:szCs w:val="22"/>
        </w:rPr>
        <w:t>na terenie gminy miejsc sprzedaży i podawania napojów alkoholowych i kontrole tych punktów). Istotna jest także współpraca z policją w sytuacji, gdy nietrzeźwe osoby nieletnie są zatrzymywane,</w:t>
      </w:r>
      <w:r w:rsidRPr="00317DE2">
        <w:rPr>
          <w:rFonts w:cs="Arial"/>
          <w:color w:val="000000"/>
          <w:sz w:val="22"/>
          <w:szCs w:val="22"/>
        </w:rPr>
        <w:br/>
        <w:t xml:space="preserve">a przedsiębiorca prowadzący sprzedaż napojów alkoholowych ukarany w związku ze sprzedażą alkoholu osobie poniżej 18. roku życia na terenie jego punktu. Oprócz działań kontrolnych ważne są też działania edukacyjne (np. kampanie realizowane poprzez umieszczanie materiałów edukacyjnych bezpośrednio w punkcie sprzedaży). Działania edukacyjne, np. </w:t>
      </w:r>
      <w:r w:rsidRPr="00317DE2">
        <w:rPr>
          <w:rFonts w:cs="Arial"/>
          <w:color w:val="000000"/>
          <w:sz w:val="22"/>
          <w:szCs w:val="22"/>
        </w:rPr>
        <w:lastRenderedPageBreak/>
        <w:t>w</w:t>
      </w:r>
      <w:r>
        <w:rPr>
          <w:rFonts w:cs="Arial"/>
          <w:color w:val="000000"/>
          <w:sz w:val="22"/>
          <w:szCs w:val="22"/>
        </w:rPr>
        <w:t> </w:t>
      </w:r>
      <w:r w:rsidRPr="00317DE2">
        <w:rPr>
          <w:rFonts w:cs="Arial"/>
          <w:color w:val="000000"/>
          <w:sz w:val="22"/>
          <w:szCs w:val="22"/>
        </w:rPr>
        <w:t>formie zajęć warsztatowych, powinno się również kierować do sprzedawców napojów alkoholowych</w:t>
      </w:r>
      <w:r w:rsidRPr="00317DE2">
        <w:rPr>
          <w:rStyle w:val="Odwoanieprzypisudolnego"/>
          <w:rFonts w:cs="Arial"/>
          <w:color w:val="000000"/>
          <w:sz w:val="22"/>
          <w:szCs w:val="22"/>
        </w:rPr>
        <w:footnoteReference w:id="21"/>
      </w:r>
      <w:r w:rsidRPr="00317DE2">
        <w:rPr>
          <w:rFonts w:cs="Arial"/>
          <w:color w:val="000000"/>
          <w:sz w:val="22"/>
          <w:szCs w:val="22"/>
        </w:rPr>
        <w:t>.</w:t>
      </w:r>
    </w:p>
    <w:p w14:paraId="158C4A2E" w14:textId="688E8323" w:rsidR="001676E4" w:rsidRPr="00EF0A89" w:rsidRDefault="001676E4" w:rsidP="001676E4">
      <w:pPr>
        <w:tabs>
          <w:tab w:val="left" w:pos="426"/>
        </w:tabs>
        <w:spacing w:after="0" w:line="360" w:lineRule="auto"/>
        <w:jc w:val="both"/>
        <w:rPr>
          <w:rFonts w:cs="Arial"/>
          <w:sz w:val="22"/>
          <w:szCs w:val="22"/>
        </w:rPr>
      </w:pPr>
      <w:r w:rsidRPr="004B3E03">
        <w:rPr>
          <w:rFonts w:cs="Arial"/>
          <w:sz w:val="22"/>
          <w:szCs w:val="22"/>
        </w:rPr>
        <w:tab/>
        <w:t>Liczba obowiązujących zezwoleń na sprzedaż alkoholu (zezwoleń na sprzedaż alkoholu</w:t>
      </w:r>
      <w:r w:rsidRPr="00317DE2">
        <w:rPr>
          <w:rFonts w:cs="Arial"/>
          <w:sz w:val="22"/>
          <w:szCs w:val="22"/>
        </w:rPr>
        <w:t xml:space="preserve"> w</w:t>
      </w:r>
      <w:r>
        <w:rPr>
          <w:rFonts w:cs="Arial"/>
          <w:sz w:val="22"/>
          <w:szCs w:val="22"/>
        </w:rPr>
        <w:t> </w:t>
      </w:r>
      <w:r w:rsidRPr="00317DE2">
        <w:rPr>
          <w:rFonts w:cs="Arial"/>
          <w:sz w:val="22"/>
          <w:szCs w:val="22"/>
        </w:rPr>
        <w:t xml:space="preserve">punktach przeznaczonych do spożycia poza miejscem sprzedaży i w miejscu sprzedaży) </w:t>
      </w:r>
      <w:r w:rsidRPr="00EF0A89">
        <w:rPr>
          <w:rFonts w:cs="Arial"/>
          <w:sz w:val="22"/>
          <w:szCs w:val="22"/>
        </w:rPr>
        <w:t>łącznie w latach 20</w:t>
      </w:r>
      <w:r w:rsidR="00536E9E" w:rsidRPr="00EF0A89">
        <w:rPr>
          <w:rFonts w:cs="Arial"/>
          <w:sz w:val="22"/>
          <w:szCs w:val="22"/>
        </w:rPr>
        <w:t>21</w:t>
      </w:r>
      <w:r w:rsidRPr="00EF0A89">
        <w:rPr>
          <w:rFonts w:cs="Arial"/>
          <w:sz w:val="22"/>
          <w:szCs w:val="22"/>
        </w:rPr>
        <w:t>-2023 w województwie lubelskim przedstawia się następująco:</w:t>
      </w:r>
    </w:p>
    <w:p w14:paraId="6E823AE7" w14:textId="77777777" w:rsidR="001676E4" w:rsidRPr="00EF0A89" w:rsidRDefault="001676E4" w:rsidP="001676E4">
      <w:pPr>
        <w:numPr>
          <w:ilvl w:val="0"/>
          <w:numId w:val="4"/>
        </w:numPr>
        <w:tabs>
          <w:tab w:val="left" w:pos="993"/>
        </w:tabs>
        <w:spacing w:after="0" w:line="360" w:lineRule="auto"/>
        <w:ind w:left="709" w:firstLine="0"/>
        <w:jc w:val="both"/>
        <w:rPr>
          <w:rFonts w:cs="Arial"/>
          <w:sz w:val="22"/>
          <w:szCs w:val="22"/>
        </w:rPr>
      </w:pPr>
      <w:r w:rsidRPr="00EF0A89">
        <w:rPr>
          <w:rFonts w:cs="Arial"/>
          <w:sz w:val="22"/>
          <w:szCs w:val="22"/>
        </w:rPr>
        <w:t>15 493 w 2021 r.</w:t>
      </w:r>
    </w:p>
    <w:p w14:paraId="151AB166" w14:textId="77777777" w:rsidR="001676E4" w:rsidRPr="00EF0A89" w:rsidRDefault="001676E4" w:rsidP="001676E4">
      <w:pPr>
        <w:numPr>
          <w:ilvl w:val="0"/>
          <w:numId w:val="4"/>
        </w:numPr>
        <w:tabs>
          <w:tab w:val="left" w:pos="993"/>
        </w:tabs>
        <w:spacing w:after="0" w:line="360" w:lineRule="auto"/>
        <w:ind w:left="709" w:firstLine="0"/>
        <w:jc w:val="both"/>
        <w:rPr>
          <w:rFonts w:cs="Arial"/>
          <w:sz w:val="22"/>
          <w:szCs w:val="22"/>
        </w:rPr>
      </w:pPr>
      <w:r w:rsidRPr="00EF0A89">
        <w:rPr>
          <w:rFonts w:cs="Arial"/>
          <w:sz w:val="22"/>
          <w:szCs w:val="22"/>
        </w:rPr>
        <w:t>15 248 w 2022 r.</w:t>
      </w:r>
    </w:p>
    <w:p w14:paraId="3C1444BC" w14:textId="6702E456" w:rsidR="001676E4" w:rsidRPr="00EF0A89" w:rsidRDefault="001676E4" w:rsidP="001676E4">
      <w:pPr>
        <w:numPr>
          <w:ilvl w:val="0"/>
          <w:numId w:val="4"/>
        </w:numPr>
        <w:tabs>
          <w:tab w:val="left" w:pos="993"/>
        </w:tabs>
        <w:spacing w:after="0" w:line="360" w:lineRule="auto"/>
        <w:ind w:left="709" w:firstLine="0"/>
        <w:jc w:val="both"/>
        <w:rPr>
          <w:rFonts w:cs="Arial"/>
          <w:sz w:val="22"/>
          <w:szCs w:val="22"/>
        </w:rPr>
      </w:pPr>
      <w:r w:rsidRPr="00EF0A89">
        <w:rPr>
          <w:rFonts w:cs="Arial"/>
          <w:sz w:val="22"/>
          <w:szCs w:val="22"/>
        </w:rPr>
        <w:t>14 764 w 2023 r.</w:t>
      </w:r>
      <w:r w:rsidR="00EF0A89">
        <w:rPr>
          <w:rStyle w:val="Odwoanieprzypisudolnego"/>
          <w:rFonts w:cs="Arial"/>
          <w:sz w:val="22"/>
          <w:szCs w:val="22"/>
        </w:rPr>
        <w:footnoteReference w:id="22"/>
      </w:r>
    </w:p>
    <w:p w14:paraId="6EE937A6" w14:textId="77777777" w:rsidR="001676E4" w:rsidRPr="00317DE2" w:rsidRDefault="001676E4" w:rsidP="00B11CBB">
      <w:pPr>
        <w:pStyle w:val="Nagwek2"/>
        <w:rPr>
          <w:rFonts w:eastAsia="TimesNewRoman"/>
        </w:rPr>
      </w:pPr>
      <w:r w:rsidRPr="00317DE2">
        <w:rPr>
          <w:rFonts w:eastAsia="TimesNewRoman"/>
        </w:rPr>
        <w:t>Działania terapeutyczne i rehabilitacyjne</w:t>
      </w:r>
    </w:p>
    <w:p w14:paraId="0408DE5C" w14:textId="4A6934D5" w:rsidR="001676E4" w:rsidRPr="00317DE2" w:rsidRDefault="001676E4" w:rsidP="001676E4">
      <w:pPr>
        <w:tabs>
          <w:tab w:val="left" w:pos="426"/>
        </w:tabs>
        <w:spacing w:line="360" w:lineRule="auto"/>
        <w:jc w:val="both"/>
        <w:rPr>
          <w:rFonts w:cs="Arial"/>
          <w:sz w:val="22"/>
          <w:szCs w:val="22"/>
        </w:rPr>
      </w:pPr>
      <w:r w:rsidRPr="00317DE2">
        <w:rPr>
          <w:rFonts w:cs="Arial"/>
          <w:sz w:val="22"/>
          <w:szCs w:val="22"/>
        </w:rPr>
        <w:tab/>
        <w:t xml:space="preserve">Zapewnienie pomocy dla osób z problemem alkoholowym wymaga stworzenia  odpowiednich warunkach lokalowych i obecności personelu terapii odwykowej realizujących odpowiednie programy zdrowotne. Gminy podejmowały działania mające na celu zwiększenia dostępności pomocy terapeutycznej i rehabilitacyjnej dla osób uzależnionych od alkoholu </w:t>
      </w:r>
      <w:r w:rsidRPr="00317DE2">
        <w:rPr>
          <w:rFonts w:cs="Arial"/>
          <w:sz w:val="22"/>
          <w:szCs w:val="22"/>
        </w:rPr>
        <w:br/>
        <w:t xml:space="preserve">i współuzależnionych ponosząc z tego tytułu określone wydatki finansowe na następujące działania wskazane w tabeli nr </w:t>
      </w:r>
      <w:r w:rsidR="008313BE">
        <w:rPr>
          <w:rFonts w:cs="Arial"/>
          <w:sz w:val="22"/>
          <w:szCs w:val="22"/>
        </w:rPr>
        <w:t>8</w:t>
      </w:r>
      <w:r w:rsidRPr="00317DE2">
        <w:rPr>
          <w:rFonts w:cs="Arial"/>
          <w:sz w:val="22"/>
          <w:szCs w:val="22"/>
        </w:rPr>
        <w:t>.</w:t>
      </w:r>
    </w:p>
    <w:p w14:paraId="6347170F" w14:textId="18D2FBE5" w:rsidR="001676E4" w:rsidRPr="00C22FC0" w:rsidRDefault="001676E4" w:rsidP="001676E4">
      <w:pPr>
        <w:pStyle w:val="Legenda"/>
        <w:keepNext/>
        <w:rPr>
          <w:sz w:val="20"/>
        </w:rPr>
      </w:pPr>
      <w:bookmarkStart w:id="45" w:name="_Toc214279693"/>
      <w:r w:rsidRPr="00C22FC0">
        <w:rPr>
          <w:sz w:val="20"/>
        </w:rPr>
        <w:t xml:space="preserve">Tabela </w:t>
      </w:r>
      <w:r w:rsidRPr="00C22FC0">
        <w:rPr>
          <w:sz w:val="20"/>
        </w:rPr>
        <w:fldChar w:fldCharType="begin"/>
      </w:r>
      <w:r w:rsidRPr="00C22FC0">
        <w:rPr>
          <w:sz w:val="20"/>
        </w:rPr>
        <w:instrText xml:space="preserve"> SEQ Tabela \* ARABIC </w:instrText>
      </w:r>
      <w:r w:rsidRPr="00C22FC0">
        <w:rPr>
          <w:sz w:val="20"/>
        </w:rPr>
        <w:fldChar w:fldCharType="separate"/>
      </w:r>
      <w:r w:rsidR="00CA082D" w:rsidRPr="00C22FC0">
        <w:rPr>
          <w:noProof/>
          <w:sz w:val="20"/>
        </w:rPr>
        <w:t>8</w:t>
      </w:r>
      <w:r w:rsidRPr="00C22FC0">
        <w:rPr>
          <w:sz w:val="20"/>
        </w:rPr>
        <w:fldChar w:fldCharType="end"/>
      </w:r>
      <w:r w:rsidRPr="00C22FC0">
        <w:rPr>
          <w:sz w:val="20"/>
        </w:rPr>
        <w:t>. Najważniejsze działania podjęte przez gminy na terenie województwa lubelskiego w celu zwiększenia dostępności pomocy terapeutycznej i rehabilitacyjnej dla osób uzależnionych od alkoholu i współuzależnionych w latach 2021-2023</w:t>
      </w:r>
      <w:bookmarkEnd w:id="45"/>
    </w:p>
    <w:tbl>
      <w:tblPr>
        <w:tblStyle w:val="Tabela-Siatka"/>
        <w:tblW w:w="0" w:type="auto"/>
        <w:tblInd w:w="108" w:type="dxa"/>
        <w:tblLayout w:type="fixed"/>
        <w:tblLook w:val="04A0" w:firstRow="1" w:lastRow="0" w:firstColumn="1" w:lastColumn="0" w:noHBand="0" w:noVBand="1"/>
      </w:tblPr>
      <w:tblGrid>
        <w:gridCol w:w="738"/>
        <w:gridCol w:w="1701"/>
        <w:gridCol w:w="1701"/>
        <w:gridCol w:w="1701"/>
        <w:gridCol w:w="1602"/>
        <w:gridCol w:w="1629"/>
      </w:tblGrid>
      <w:tr w:rsidR="001676E4" w:rsidRPr="0054713D" w14:paraId="67DE4A7F" w14:textId="77777777" w:rsidTr="003D66E5">
        <w:trPr>
          <w:tblHeader/>
        </w:trPr>
        <w:tc>
          <w:tcPr>
            <w:tcW w:w="738" w:type="dxa"/>
          </w:tcPr>
          <w:p w14:paraId="394C77A9" w14:textId="77777777" w:rsidR="001676E4" w:rsidRPr="0054713D" w:rsidRDefault="001676E4" w:rsidP="003D66E5">
            <w:pPr>
              <w:tabs>
                <w:tab w:val="left" w:pos="426"/>
              </w:tabs>
              <w:spacing w:after="120"/>
              <w:jc w:val="center"/>
              <w:rPr>
                <w:rFonts w:cs="Arial"/>
                <w:b/>
                <w:bCs/>
                <w:sz w:val="20"/>
              </w:rPr>
            </w:pPr>
            <w:r w:rsidRPr="0054713D">
              <w:rPr>
                <w:rFonts w:cs="Arial"/>
                <w:b/>
                <w:bCs/>
                <w:sz w:val="20"/>
              </w:rPr>
              <w:t>Rok</w:t>
            </w:r>
          </w:p>
        </w:tc>
        <w:tc>
          <w:tcPr>
            <w:tcW w:w="1701" w:type="dxa"/>
          </w:tcPr>
          <w:p w14:paraId="459766BC" w14:textId="77777777" w:rsidR="001676E4" w:rsidRPr="0054713D" w:rsidRDefault="001676E4" w:rsidP="003D66E5">
            <w:pPr>
              <w:tabs>
                <w:tab w:val="left" w:pos="426"/>
              </w:tabs>
              <w:spacing w:after="120"/>
              <w:jc w:val="center"/>
              <w:rPr>
                <w:rFonts w:cs="Arial"/>
                <w:b/>
                <w:bCs/>
                <w:sz w:val="20"/>
              </w:rPr>
            </w:pPr>
            <w:r w:rsidRPr="0054713D">
              <w:rPr>
                <w:rFonts w:cs="Arial"/>
                <w:b/>
                <w:bCs/>
                <w:sz w:val="20"/>
              </w:rPr>
              <w:t>Finansowanie programów zdrowotnych w placówce leczenia uzależnienia od alkoholu (zł)</w:t>
            </w:r>
          </w:p>
        </w:tc>
        <w:tc>
          <w:tcPr>
            <w:tcW w:w="1701" w:type="dxa"/>
          </w:tcPr>
          <w:p w14:paraId="5C4D1A0E" w14:textId="77777777" w:rsidR="001676E4" w:rsidRPr="0054713D" w:rsidRDefault="001676E4" w:rsidP="003D66E5">
            <w:pPr>
              <w:tabs>
                <w:tab w:val="left" w:pos="426"/>
              </w:tabs>
              <w:spacing w:after="120"/>
              <w:jc w:val="center"/>
              <w:rPr>
                <w:rFonts w:cs="Arial"/>
                <w:b/>
                <w:bCs/>
                <w:sz w:val="20"/>
              </w:rPr>
            </w:pPr>
            <w:r w:rsidRPr="0054713D">
              <w:rPr>
                <w:rFonts w:cs="Arial"/>
                <w:b/>
                <w:bCs/>
                <w:sz w:val="20"/>
              </w:rPr>
              <w:t>Zakup świadczeń</w:t>
            </w:r>
            <w:r w:rsidRPr="0054713D">
              <w:rPr>
                <w:rFonts w:cs="Arial"/>
                <w:b/>
                <w:bCs/>
                <w:sz w:val="20"/>
              </w:rPr>
              <w:br/>
              <w:t>zdrowotnych z</w:t>
            </w:r>
            <w:r w:rsidRPr="0054713D">
              <w:rPr>
                <w:rFonts w:cs="Arial"/>
                <w:b/>
                <w:bCs/>
                <w:sz w:val="20"/>
              </w:rPr>
              <w:br/>
              <w:t>zakresu leczenia</w:t>
            </w:r>
            <w:r w:rsidRPr="0054713D">
              <w:rPr>
                <w:rFonts w:cs="Arial"/>
                <w:b/>
                <w:bCs/>
                <w:sz w:val="20"/>
              </w:rPr>
              <w:br/>
              <w:t>uzależnienia od</w:t>
            </w:r>
            <w:r w:rsidRPr="0054713D">
              <w:rPr>
                <w:rFonts w:cs="Arial"/>
                <w:b/>
                <w:bCs/>
                <w:sz w:val="20"/>
              </w:rPr>
              <w:br/>
              <w:t>alkoholu (zł)</w:t>
            </w:r>
          </w:p>
        </w:tc>
        <w:tc>
          <w:tcPr>
            <w:tcW w:w="1701" w:type="dxa"/>
          </w:tcPr>
          <w:p w14:paraId="14ED6A2C" w14:textId="77777777" w:rsidR="001676E4" w:rsidRPr="0054713D" w:rsidRDefault="001676E4" w:rsidP="003D66E5">
            <w:pPr>
              <w:tabs>
                <w:tab w:val="left" w:pos="426"/>
              </w:tabs>
              <w:spacing w:after="120"/>
              <w:jc w:val="center"/>
              <w:rPr>
                <w:rFonts w:cs="Arial"/>
                <w:b/>
                <w:bCs/>
                <w:sz w:val="20"/>
              </w:rPr>
            </w:pPr>
            <w:r w:rsidRPr="0054713D">
              <w:rPr>
                <w:rFonts w:cs="Arial"/>
                <w:b/>
                <w:bCs/>
                <w:sz w:val="20"/>
              </w:rPr>
              <w:t>Dofinansowanie</w:t>
            </w:r>
            <w:r w:rsidRPr="0054713D">
              <w:rPr>
                <w:rFonts w:cs="Arial"/>
                <w:b/>
                <w:bCs/>
                <w:sz w:val="20"/>
              </w:rPr>
              <w:br/>
              <w:t>szkoleń dla</w:t>
            </w:r>
            <w:r w:rsidRPr="0054713D">
              <w:rPr>
                <w:rFonts w:cs="Arial"/>
                <w:b/>
                <w:bCs/>
                <w:sz w:val="20"/>
              </w:rPr>
              <w:br/>
              <w:t>pracowników</w:t>
            </w:r>
            <w:r w:rsidRPr="0054713D">
              <w:rPr>
                <w:rFonts w:cs="Arial"/>
                <w:b/>
                <w:bCs/>
                <w:sz w:val="20"/>
              </w:rPr>
              <w:br/>
              <w:t>placówek leczenia</w:t>
            </w:r>
            <w:r w:rsidRPr="0054713D">
              <w:rPr>
                <w:rFonts w:cs="Arial"/>
                <w:b/>
                <w:bCs/>
                <w:sz w:val="20"/>
              </w:rPr>
              <w:br/>
              <w:t>uzależnienia od</w:t>
            </w:r>
            <w:r w:rsidRPr="0054713D">
              <w:rPr>
                <w:rFonts w:cs="Arial"/>
                <w:b/>
                <w:bCs/>
                <w:sz w:val="20"/>
              </w:rPr>
              <w:br/>
              <w:t>alkoholu (zł)</w:t>
            </w:r>
          </w:p>
        </w:tc>
        <w:tc>
          <w:tcPr>
            <w:tcW w:w="1602" w:type="dxa"/>
          </w:tcPr>
          <w:p w14:paraId="730EE0B7" w14:textId="77777777" w:rsidR="001676E4" w:rsidRPr="0054713D" w:rsidRDefault="001676E4" w:rsidP="003D66E5">
            <w:pPr>
              <w:tabs>
                <w:tab w:val="left" w:pos="426"/>
              </w:tabs>
              <w:spacing w:after="120"/>
              <w:jc w:val="center"/>
              <w:rPr>
                <w:rFonts w:cs="Arial"/>
                <w:b/>
                <w:bCs/>
                <w:sz w:val="20"/>
              </w:rPr>
            </w:pPr>
            <w:r w:rsidRPr="0054713D">
              <w:rPr>
                <w:rFonts w:cs="Arial"/>
                <w:b/>
                <w:bCs/>
                <w:sz w:val="20"/>
              </w:rPr>
              <w:t>Doposażenie placówek leczenia uzależnienia od alkoholu(zł)</w:t>
            </w:r>
          </w:p>
        </w:tc>
        <w:tc>
          <w:tcPr>
            <w:tcW w:w="1629" w:type="dxa"/>
          </w:tcPr>
          <w:p w14:paraId="1CCFB84E" w14:textId="77777777" w:rsidR="001676E4" w:rsidRPr="0054713D" w:rsidRDefault="001676E4" w:rsidP="003D66E5">
            <w:pPr>
              <w:tabs>
                <w:tab w:val="left" w:pos="426"/>
              </w:tabs>
              <w:spacing w:after="120"/>
              <w:jc w:val="center"/>
              <w:rPr>
                <w:rFonts w:cs="Arial"/>
                <w:b/>
                <w:bCs/>
                <w:sz w:val="20"/>
              </w:rPr>
            </w:pPr>
            <w:r w:rsidRPr="0054713D">
              <w:rPr>
                <w:rFonts w:cs="Arial"/>
                <w:b/>
                <w:bCs/>
                <w:sz w:val="20"/>
              </w:rPr>
              <w:t>Dofinansowanie remontu i adaptacji placówek leczenia uzależnienia od alkoholu (zł)</w:t>
            </w:r>
          </w:p>
        </w:tc>
      </w:tr>
      <w:tr w:rsidR="001676E4" w:rsidRPr="0054713D" w14:paraId="23A0AA66" w14:textId="77777777" w:rsidTr="003D66E5">
        <w:tc>
          <w:tcPr>
            <w:tcW w:w="738" w:type="dxa"/>
          </w:tcPr>
          <w:p w14:paraId="55DCD2E3" w14:textId="77777777" w:rsidR="001676E4" w:rsidRPr="0054713D" w:rsidRDefault="001676E4" w:rsidP="003D66E5">
            <w:pPr>
              <w:tabs>
                <w:tab w:val="left" w:pos="426"/>
              </w:tabs>
              <w:spacing w:after="120" w:line="360" w:lineRule="auto"/>
              <w:jc w:val="center"/>
              <w:rPr>
                <w:rFonts w:cs="Arial"/>
                <w:b/>
                <w:bCs/>
                <w:sz w:val="20"/>
              </w:rPr>
            </w:pPr>
            <w:r w:rsidRPr="0054713D">
              <w:rPr>
                <w:rFonts w:cs="Arial"/>
                <w:b/>
                <w:bCs/>
                <w:sz w:val="20"/>
              </w:rPr>
              <w:t>2021</w:t>
            </w:r>
          </w:p>
        </w:tc>
        <w:tc>
          <w:tcPr>
            <w:tcW w:w="1701" w:type="dxa"/>
          </w:tcPr>
          <w:p w14:paraId="139325C2"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113 700,00</w:t>
            </w:r>
          </w:p>
        </w:tc>
        <w:tc>
          <w:tcPr>
            <w:tcW w:w="1701" w:type="dxa"/>
          </w:tcPr>
          <w:p w14:paraId="0F1C4E68"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175 585,00</w:t>
            </w:r>
          </w:p>
        </w:tc>
        <w:tc>
          <w:tcPr>
            <w:tcW w:w="1701" w:type="dxa"/>
          </w:tcPr>
          <w:p w14:paraId="4BF8B7D5"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22 800,00</w:t>
            </w:r>
          </w:p>
        </w:tc>
        <w:tc>
          <w:tcPr>
            <w:tcW w:w="1602" w:type="dxa"/>
          </w:tcPr>
          <w:p w14:paraId="1FB14E3B"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16 479,00</w:t>
            </w:r>
          </w:p>
        </w:tc>
        <w:tc>
          <w:tcPr>
            <w:tcW w:w="1629" w:type="dxa"/>
          </w:tcPr>
          <w:p w14:paraId="7012FDD4"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 xml:space="preserve">0,00 </w:t>
            </w:r>
          </w:p>
        </w:tc>
      </w:tr>
      <w:tr w:rsidR="001676E4" w:rsidRPr="0054713D" w14:paraId="7BC24CEB" w14:textId="77777777" w:rsidTr="003D66E5">
        <w:tc>
          <w:tcPr>
            <w:tcW w:w="738" w:type="dxa"/>
          </w:tcPr>
          <w:p w14:paraId="65B5D29C" w14:textId="77777777" w:rsidR="001676E4" w:rsidRPr="0054713D" w:rsidRDefault="001676E4" w:rsidP="003D66E5">
            <w:pPr>
              <w:tabs>
                <w:tab w:val="left" w:pos="426"/>
              </w:tabs>
              <w:spacing w:after="120" w:line="360" w:lineRule="auto"/>
              <w:jc w:val="center"/>
              <w:rPr>
                <w:rFonts w:cs="Arial"/>
                <w:b/>
                <w:bCs/>
                <w:sz w:val="20"/>
              </w:rPr>
            </w:pPr>
            <w:r w:rsidRPr="0054713D">
              <w:rPr>
                <w:rFonts w:cs="Arial"/>
                <w:b/>
                <w:bCs/>
                <w:sz w:val="20"/>
              </w:rPr>
              <w:t>2022</w:t>
            </w:r>
          </w:p>
        </w:tc>
        <w:tc>
          <w:tcPr>
            <w:tcW w:w="1701" w:type="dxa"/>
          </w:tcPr>
          <w:p w14:paraId="0B5D966C"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91 230,00</w:t>
            </w:r>
          </w:p>
        </w:tc>
        <w:tc>
          <w:tcPr>
            <w:tcW w:w="1701" w:type="dxa"/>
          </w:tcPr>
          <w:p w14:paraId="2060685B"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166 222,00</w:t>
            </w:r>
          </w:p>
        </w:tc>
        <w:tc>
          <w:tcPr>
            <w:tcW w:w="1701" w:type="dxa"/>
          </w:tcPr>
          <w:p w14:paraId="2D902A99"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17 480,00</w:t>
            </w:r>
          </w:p>
        </w:tc>
        <w:tc>
          <w:tcPr>
            <w:tcW w:w="1602" w:type="dxa"/>
          </w:tcPr>
          <w:p w14:paraId="0EBF0AA0"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93 118,58</w:t>
            </w:r>
          </w:p>
        </w:tc>
        <w:tc>
          <w:tcPr>
            <w:tcW w:w="1629" w:type="dxa"/>
          </w:tcPr>
          <w:p w14:paraId="520743D6"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0,00</w:t>
            </w:r>
          </w:p>
        </w:tc>
      </w:tr>
      <w:tr w:rsidR="001676E4" w:rsidRPr="0054713D" w14:paraId="17FD362B" w14:textId="77777777" w:rsidTr="003D66E5">
        <w:tc>
          <w:tcPr>
            <w:tcW w:w="738" w:type="dxa"/>
          </w:tcPr>
          <w:p w14:paraId="680DCDF4" w14:textId="77777777" w:rsidR="001676E4" w:rsidRPr="0054713D" w:rsidRDefault="001676E4" w:rsidP="003D66E5">
            <w:pPr>
              <w:tabs>
                <w:tab w:val="left" w:pos="426"/>
              </w:tabs>
              <w:spacing w:after="120" w:line="360" w:lineRule="auto"/>
              <w:jc w:val="center"/>
              <w:rPr>
                <w:rFonts w:cs="Arial"/>
                <w:b/>
                <w:bCs/>
                <w:sz w:val="20"/>
              </w:rPr>
            </w:pPr>
            <w:r w:rsidRPr="0054713D">
              <w:rPr>
                <w:rFonts w:cs="Arial"/>
                <w:b/>
                <w:bCs/>
                <w:sz w:val="20"/>
              </w:rPr>
              <w:t>2023</w:t>
            </w:r>
          </w:p>
        </w:tc>
        <w:tc>
          <w:tcPr>
            <w:tcW w:w="1701" w:type="dxa"/>
          </w:tcPr>
          <w:p w14:paraId="74A2E9C5"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91 230,00</w:t>
            </w:r>
          </w:p>
        </w:tc>
        <w:tc>
          <w:tcPr>
            <w:tcW w:w="1701" w:type="dxa"/>
          </w:tcPr>
          <w:p w14:paraId="28EF2C7E"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166 222,00</w:t>
            </w:r>
          </w:p>
        </w:tc>
        <w:tc>
          <w:tcPr>
            <w:tcW w:w="1701" w:type="dxa"/>
          </w:tcPr>
          <w:p w14:paraId="7A8AB669"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17 480,00</w:t>
            </w:r>
          </w:p>
        </w:tc>
        <w:tc>
          <w:tcPr>
            <w:tcW w:w="1602" w:type="dxa"/>
          </w:tcPr>
          <w:p w14:paraId="3684D5C7"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93 118,58</w:t>
            </w:r>
          </w:p>
        </w:tc>
        <w:tc>
          <w:tcPr>
            <w:tcW w:w="1629" w:type="dxa"/>
          </w:tcPr>
          <w:p w14:paraId="210A020B" w14:textId="77777777" w:rsidR="001676E4" w:rsidRPr="0054713D" w:rsidRDefault="001676E4" w:rsidP="003D66E5">
            <w:pPr>
              <w:tabs>
                <w:tab w:val="left" w:pos="426"/>
              </w:tabs>
              <w:spacing w:after="120" w:line="360" w:lineRule="auto"/>
              <w:jc w:val="center"/>
              <w:rPr>
                <w:rFonts w:cs="Arial"/>
                <w:sz w:val="20"/>
              </w:rPr>
            </w:pPr>
            <w:r w:rsidRPr="0054713D">
              <w:rPr>
                <w:rFonts w:cs="Arial"/>
                <w:sz w:val="20"/>
              </w:rPr>
              <w:t>7 394,94</w:t>
            </w:r>
          </w:p>
        </w:tc>
      </w:tr>
    </w:tbl>
    <w:p w14:paraId="6813BEC0" w14:textId="5BD57A97" w:rsidR="001676E4" w:rsidRPr="004B3E03" w:rsidRDefault="001676E4" w:rsidP="001676E4">
      <w:pPr>
        <w:spacing w:after="240" w:line="240" w:lineRule="auto"/>
        <w:jc w:val="both"/>
        <w:rPr>
          <w:rFonts w:cs="Arial"/>
          <w:color w:val="000000"/>
          <w:sz w:val="16"/>
          <w:szCs w:val="16"/>
        </w:rPr>
      </w:pPr>
      <w:r w:rsidRPr="004B3E03">
        <w:rPr>
          <w:rFonts w:cs="Arial"/>
          <w:color w:val="000000"/>
          <w:sz w:val="16"/>
          <w:szCs w:val="16"/>
        </w:rPr>
        <w:t>Sprawozdania z działalności samorządów gminnych w zakresie profilaktyki i rozwiązywania problemów alkoholowych (Ankieta G1) za 20</w:t>
      </w:r>
      <w:r w:rsidR="00536E9E">
        <w:rPr>
          <w:rFonts w:cs="Arial"/>
          <w:color w:val="000000"/>
          <w:sz w:val="16"/>
          <w:szCs w:val="16"/>
        </w:rPr>
        <w:t>21</w:t>
      </w:r>
      <w:r w:rsidRPr="004B3E03">
        <w:rPr>
          <w:rFonts w:cs="Arial"/>
          <w:color w:val="000000"/>
          <w:sz w:val="16"/>
          <w:szCs w:val="16"/>
        </w:rPr>
        <w:t>-202</w:t>
      </w:r>
      <w:r w:rsidR="00536E9E">
        <w:rPr>
          <w:rFonts w:cs="Arial"/>
          <w:color w:val="000000"/>
          <w:sz w:val="16"/>
          <w:szCs w:val="16"/>
        </w:rPr>
        <w:t>2</w:t>
      </w:r>
      <w:r w:rsidRPr="004B3E03">
        <w:rPr>
          <w:rFonts w:cs="Arial"/>
          <w:color w:val="000000"/>
          <w:sz w:val="16"/>
          <w:szCs w:val="16"/>
        </w:rPr>
        <w:t xml:space="preserve"> r., PARPA oraz PROFILAKTYKA I ROZWIĄZYWANIE PROBLEMÓW UZALEŻNIEŃ W POLSCE W SAMORZĄDACH LOKALNYCH w 2023 roku Zestawienia statystyczne, KCPU</w:t>
      </w:r>
    </w:p>
    <w:p w14:paraId="5889AF41" w14:textId="0BEDD8D4" w:rsidR="001676E4" w:rsidRDefault="001676E4" w:rsidP="001676E4">
      <w:pPr>
        <w:spacing w:after="0" w:line="360" w:lineRule="auto"/>
        <w:ind w:firstLine="425"/>
        <w:jc w:val="both"/>
        <w:rPr>
          <w:rFonts w:cs="Arial"/>
          <w:sz w:val="22"/>
          <w:szCs w:val="22"/>
        </w:rPr>
      </w:pPr>
      <w:r w:rsidRPr="00317DE2">
        <w:rPr>
          <w:rFonts w:cs="Arial"/>
          <w:sz w:val="22"/>
          <w:szCs w:val="22"/>
        </w:rPr>
        <w:t>Obok wymienionych w tabeli form działań realizowano inne</w:t>
      </w:r>
      <w:r w:rsidR="008313BE">
        <w:rPr>
          <w:rFonts w:cs="Arial"/>
          <w:sz w:val="22"/>
          <w:szCs w:val="22"/>
        </w:rPr>
        <w:t>, takie</w:t>
      </w:r>
      <w:r w:rsidRPr="00317DE2">
        <w:rPr>
          <w:rFonts w:cs="Arial"/>
          <w:sz w:val="22"/>
          <w:szCs w:val="22"/>
        </w:rPr>
        <w:t xml:space="preserve"> jak: dofinansowanie dojazdu osób uzależnionych na terapię do placówek leczenia uzależnienia od alkoholu, </w:t>
      </w:r>
      <w:r w:rsidRPr="00317DE2">
        <w:rPr>
          <w:rFonts w:cs="Arial"/>
          <w:sz w:val="22"/>
          <w:szCs w:val="22"/>
        </w:rPr>
        <w:lastRenderedPageBreak/>
        <w:t>finansowanie zajęć ponadetatowych prowadzonych przez pracowników placówek leczenia uzależnienia od alkoholu (umowa zlecenie, ryczałt, inne), zakup materiałów edukacyjnych dla pacjentów</w:t>
      </w:r>
      <w:r w:rsidR="008313BE">
        <w:rPr>
          <w:rFonts w:cs="Arial"/>
          <w:sz w:val="22"/>
          <w:szCs w:val="22"/>
        </w:rPr>
        <w:t xml:space="preserve"> </w:t>
      </w:r>
      <w:r w:rsidRPr="00317DE2">
        <w:rPr>
          <w:rFonts w:cs="Arial"/>
          <w:sz w:val="22"/>
          <w:szCs w:val="22"/>
        </w:rPr>
        <w:t>i terapeutów w placówce leczenia uzależnienia od alkoholu.</w:t>
      </w:r>
    </w:p>
    <w:p w14:paraId="2D070C9A" w14:textId="77777777" w:rsidR="00955250" w:rsidRPr="00317DE2" w:rsidRDefault="00955250" w:rsidP="00B11CBB">
      <w:pPr>
        <w:pStyle w:val="Nagwek2"/>
      </w:pPr>
      <w:bookmarkStart w:id="46" w:name="_Toc214277556"/>
      <w:bookmarkStart w:id="47" w:name="_Toc51671022"/>
      <w:bookmarkStart w:id="48" w:name="_Toc51671023"/>
      <w:r w:rsidRPr="00317DE2">
        <w:t>Zasoby lecznictwa i dostępność pomocy dla osób z problemem alkoholowym</w:t>
      </w:r>
      <w:bookmarkEnd w:id="46"/>
    </w:p>
    <w:p w14:paraId="027B357C" w14:textId="7F92BA12" w:rsidR="00955250" w:rsidRPr="00317DE2" w:rsidRDefault="00955250" w:rsidP="00955250">
      <w:pPr>
        <w:tabs>
          <w:tab w:val="left" w:pos="426"/>
        </w:tabs>
        <w:spacing w:after="0" w:line="360" w:lineRule="auto"/>
        <w:ind w:firstLine="567"/>
        <w:jc w:val="both"/>
        <w:rPr>
          <w:rFonts w:cs="Arial"/>
          <w:sz w:val="22"/>
          <w:szCs w:val="22"/>
        </w:rPr>
      </w:pPr>
      <w:r w:rsidRPr="00317DE2">
        <w:rPr>
          <w:rFonts w:cs="Arial"/>
          <w:sz w:val="22"/>
          <w:szCs w:val="22"/>
        </w:rPr>
        <w:t>Na mocy art. 21 ustawy z dnia 26 października 1982 roku o wychowaniu w trzeźwości</w:t>
      </w:r>
      <w:r w:rsidRPr="00317DE2">
        <w:rPr>
          <w:rFonts w:cs="Arial"/>
          <w:sz w:val="22"/>
          <w:szCs w:val="22"/>
        </w:rPr>
        <w:br/>
        <w:t>i przeciwdziałaniu alkoholizmowi, leczenie osób uzależnionych od alkoholu powinno odbywać się w zakładach leczniczych podmiotów leczniczych, wykonujących działalność leczniczą</w:t>
      </w:r>
      <w:r w:rsidRPr="00317DE2">
        <w:rPr>
          <w:rFonts w:cs="Arial"/>
          <w:sz w:val="22"/>
          <w:szCs w:val="22"/>
        </w:rPr>
        <w:br/>
        <w:t>w rodzaju świadczenia stacjonarne i całodobowe oraz ambulatoryjne, w rozumieniu przepisów ustawy z dnia 15 kwietnia 2011 roku o działalności leczniczej. Przepisy ustawy</w:t>
      </w:r>
      <w:r w:rsidR="00EF0A89">
        <w:rPr>
          <w:rFonts w:cs="Arial"/>
          <w:sz w:val="22"/>
          <w:szCs w:val="22"/>
        </w:rPr>
        <w:t xml:space="preserve"> </w:t>
      </w:r>
      <w:r w:rsidRPr="00317DE2">
        <w:rPr>
          <w:rFonts w:cs="Arial"/>
          <w:sz w:val="22"/>
          <w:szCs w:val="22"/>
        </w:rPr>
        <w:t>o wychowaniu w trzeźwości i przeciwdziałaniu alkoholizmowi nie zezwalają na leczenie osób uzależnionych poza podmiotami leczniczymi.</w:t>
      </w:r>
      <w:bookmarkStart w:id="49" w:name="_Hlk25062799"/>
    </w:p>
    <w:p w14:paraId="4BBF78BD" w14:textId="77777777" w:rsidR="00955250" w:rsidRPr="00317DE2" w:rsidRDefault="00955250" w:rsidP="00955250">
      <w:pPr>
        <w:tabs>
          <w:tab w:val="left" w:pos="426"/>
        </w:tabs>
        <w:spacing w:after="0" w:line="360" w:lineRule="auto"/>
        <w:ind w:firstLine="567"/>
        <w:jc w:val="both"/>
        <w:rPr>
          <w:rFonts w:cs="Arial"/>
          <w:sz w:val="22"/>
          <w:szCs w:val="22"/>
        </w:rPr>
      </w:pPr>
      <w:r w:rsidRPr="00CE60E9">
        <w:rPr>
          <w:rFonts w:cs="Arial"/>
          <w:sz w:val="22"/>
          <w:szCs w:val="22"/>
        </w:rPr>
        <w:t>W Polsce uzależnienie od alkoholu jest zaburzeniem diagnozowanym na podstawie dziesiątej wersji Międzynarodowej Statystycznej Klasyfikacji Chorób i Problemów Zdrowotnych (ICD-10). W diagnozie uczestniczą lekarze psychiatrzy, specjaliści psychoterapii</w:t>
      </w:r>
      <w:r w:rsidRPr="00317DE2">
        <w:rPr>
          <w:rFonts w:cs="Arial"/>
          <w:sz w:val="22"/>
          <w:szCs w:val="22"/>
        </w:rPr>
        <w:t xml:space="preserve"> uzależnień i</w:t>
      </w:r>
      <w:r>
        <w:rPr>
          <w:rFonts w:cs="Arial"/>
          <w:sz w:val="22"/>
          <w:szCs w:val="22"/>
        </w:rPr>
        <w:t> </w:t>
      </w:r>
      <w:r w:rsidRPr="00317DE2">
        <w:rPr>
          <w:rFonts w:cs="Arial"/>
          <w:sz w:val="22"/>
          <w:szCs w:val="22"/>
        </w:rPr>
        <w:t>psychologowie z doświadczeniem klinicznym. Ostateczną diagnozę w tym przypadku może postawić jedynie lekarz</w:t>
      </w:r>
      <w:r w:rsidRPr="00317DE2">
        <w:rPr>
          <w:rStyle w:val="Odwoanieprzypisudolnego"/>
          <w:rFonts w:cs="Arial"/>
          <w:sz w:val="22"/>
          <w:szCs w:val="22"/>
        </w:rPr>
        <w:footnoteReference w:id="23"/>
      </w:r>
      <w:r w:rsidRPr="00317DE2">
        <w:rPr>
          <w:rFonts w:cs="Arial"/>
          <w:sz w:val="22"/>
          <w:szCs w:val="22"/>
        </w:rPr>
        <w:t>.</w:t>
      </w:r>
    </w:p>
    <w:p w14:paraId="0B87C854" w14:textId="77777777" w:rsidR="00955250" w:rsidRPr="00317DE2" w:rsidRDefault="00955250" w:rsidP="00955250">
      <w:pPr>
        <w:tabs>
          <w:tab w:val="left" w:pos="426"/>
        </w:tabs>
        <w:spacing w:after="0" w:line="360" w:lineRule="auto"/>
        <w:ind w:firstLine="567"/>
        <w:jc w:val="both"/>
        <w:rPr>
          <w:rFonts w:cs="Arial"/>
          <w:sz w:val="22"/>
          <w:szCs w:val="22"/>
        </w:rPr>
      </w:pPr>
      <w:r w:rsidRPr="00317DE2">
        <w:rPr>
          <w:rFonts w:cs="Arial"/>
          <w:sz w:val="22"/>
          <w:szCs w:val="22"/>
        </w:rPr>
        <w:t>Najważniejsze rozporządzenia Ministra Zdrowia, dotyczące funkcjonowania placówek leczenia uzależnienia od alkoholu, tj. w sprawie funkcjonowania podmiotów leczniczych sprawujących opiekę nad uzależnionymi od alkoholu oraz w sprawie świadczeń gwarantowanych z zakresu opieki psychiatrycznej i leczenia uzależnień, używają określenia „uzależnienie”, jednak w rzeczywistości obejmują wskazaniami do leczenia w tych placówkach osoby z różnymi rodzajami zaburzeń związanych z używaniem alkoholu (nie tylko osoby uzależnione).</w:t>
      </w:r>
      <w:r>
        <w:rPr>
          <w:rFonts w:cs="Arial"/>
          <w:sz w:val="22"/>
          <w:szCs w:val="22"/>
        </w:rPr>
        <w:t xml:space="preserve"> </w:t>
      </w:r>
      <w:r w:rsidRPr="00317DE2">
        <w:rPr>
          <w:rFonts w:cs="Arial"/>
          <w:sz w:val="22"/>
          <w:szCs w:val="22"/>
        </w:rPr>
        <w:t>Osoby używające innych niż alkohol substancji psychoaktywnych (najczęściej łącznie z alkoholem), osoby mające rozpoznanie zaburzeń nawyków i popędów oraz członkowie rodzin dotkniętych tymi zaburzeniami są także pacjentami placówek leczenia uzależnienia od alkoholu. Używając określenia „uzależnienie”, ustawodawca nie zawsze łączy je z kategorią osób mających nozologiczną diagnozę uzależnienia od alkoholu</w:t>
      </w:r>
      <w:r w:rsidRPr="00317DE2">
        <w:rPr>
          <w:rStyle w:val="Odwoanieprzypisudolnego"/>
          <w:rFonts w:cs="Arial"/>
          <w:sz w:val="22"/>
          <w:szCs w:val="22"/>
        </w:rPr>
        <w:footnoteReference w:id="24"/>
      </w:r>
      <w:r w:rsidRPr="00317DE2">
        <w:rPr>
          <w:rFonts w:cs="Arial"/>
          <w:sz w:val="22"/>
          <w:szCs w:val="22"/>
        </w:rPr>
        <w:t>.</w:t>
      </w:r>
    </w:p>
    <w:p w14:paraId="731CE494" w14:textId="77777777" w:rsidR="00955250" w:rsidRPr="00CE60E9" w:rsidRDefault="00955250" w:rsidP="00955250">
      <w:pPr>
        <w:tabs>
          <w:tab w:val="left" w:pos="426"/>
        </w:tabs>
        <w:spacing w:after="0" w:line="360" w:lineRule="auto"/>
        <w:ind w:firstLine="567"/>
        <w:jc w:val="both"/>
        <w:rPr>
          <w:rFonts w:cs="Arial"/>
          <w:sz w:val="22"/>
          <w:szCs w:val="22"/>
        </w:rPr>
      </w:pPr>
      <w:r w:rsidRPr="00CE60E9">
        <w:rPr>
          <w:rFonts w:cs="Arial"/>
          <w:sz w:val="22"/>
          <w:szCs w:val="22"/>
        </w:rPr>
        <w:t>Podstawową metodą leczenia zaburzeń związanych z używaniem alkoholu jest psychoterapia. Łączny czas, niezbędny do przeprowadzenia skutecznej terapii uzależnienia od alkoholu, wynosi 18–24 miesiące. Z kolei leczenie medyczne ma jedynie wymiar wspomagający i</w:t>
      </w:r>
      <w:r>
        <w:rPr>
          <w:rFonts w:cs="Arial"/>
          <w:sz w:val="22"/>
          <w:szCs w:val="22"/>
        </w:rPr>
        <w:t xml:space="preserve"> </w:t>
      </w:r>
      <w:r w:rsidRPr="00CE60E9">
        <w:rPr>
          <w:rFonts w:cs="Arial"/>
          <w:sz w:val="22"/>
          <w:szCs w:val="22"/>
        </w:rPr>
        <w:t xml:space="preserve">ma na celu usuwanie powikłań spowodowanych szkodliwym używaniem alkoholu, w tym </w:t>
      </w:r>
      <w:r w:rsidRPr="00CE60E9">
        <w:rPr>
          <w:rFonts w:cs="Arial"/>
          <w:sz w:val="22"/>
          <w:szCs w:val="22"/>
        </w:rPr>
        <w:lastRenderedPageBreak/>
        <w:t>leczenie alkoholowych zespołów abstynencyjnych oraz farmakologiczne wsparcie oddziaływań psychoterapeutycznych i leczenie zaburzeń współwystępujących</w:t>
      </w:r>
      <w:r w:rsidRPr="00CE60E9">
        <w:rPr>
          <w:rStyle w:val="Odwoanieprzypisudolnego"/>
          <w:rFonts w:cs="Arial"/>
          <w:sz w:val="22"/>
          <w:szCs w:val="22"/>
        </w:rPr>
        <w:footnoteReference w:id="25"/>
      </w:r>
      <w:r w:rsidRPr="00CE60E9">
        <w:rPr>
          <w:rFonts w:cs="Arial"/>
          <w:sz w:val="22"/>
          <w:szCs w:val="22"/>
        </w:rPr>
        <w:t>.</w:t>
      </w:r>
    </w:p>
    <w:p w14:paraId="3679E618" w14:textId="77777777" w:rsidR="00955250" w:rsidRPr="00CE60E9" w:rsidRDefault="00955250" w:rsidP="00955250">
      <w:pPr>
        <w:tabs>
          <w:tab w:val="left" w:pos="426"/>
        </w:tabs>
        <w:spacing w:after="0" w:line="360" w:lineRule="auto"/>
        <w:ind w:firstLine="567"/>
        <w:jc w:val="both"/>
        <w:rPr>
          <w:rFonts w:cs="Arial"/>
          <w:sz w:val="22"/>
          <w:szCs w:val="22"/>
        </w:rPr>
      </w:pPr>
      <w:r w:rsidRPr="00CE60E9">
        <w:rPr>
          <w:rFonts w:cs="Arial"/>
          <w:sz w:val="22"/>
          <w:szCs w:val="22"/>
        </w:rPr>
        <w:t>Rekomenduje się również, by osoby uzależnione korzystały z oferty ruchów samopomocowych (oprócz uczestnictwa w psychoterapii). W tym zakresie zaleca się systematyczne uczestnictwo w mityngach Wspólnoty Anonimowych Alkoholików (AA)</w:t>
      </w:r>
      <w:bookmarkStart w:id="51" w:name="_Hlk49776352"/>
      <w:r>
        <w:rPr>
          <w:rFonts w:cs="Arial"/>
          <w:sz w:val="22"/>
          <w:szCs w:val="22"/>
        </w:rPr>
        <w:t xml:space="preserve"> </w:t>
      </w:r>
      <w:r w:rsidRPr="00CE60E9">
        <w:rPr>
          <w:rFonts w:cs="Arial"/>
          <w:sz w:val="22"/>
          <w:szCs w:val="22"/>
        </w:rPr>
        <w:t>oraz w</w:t>
      </w:r>
      <w:r>
        <w:rPr>
          <w:rFonts w:cs="Arial"/>
          <w:sz w:val="22"/>
          <w:szCs w:val="22"/>
        </w:rPr>
        <w:t> </w:t>
      </w:r>
      <w:r w:rsidRPr="00CE60E9">
        <w:rPr>
          <w:rFonts w:cs="Arial"/>
          <w:sz w:val="22"/>
          <w:szCs w:val="22"/>
        </w:rPr>
        <w:t>zajęciach organizowanych przez stowarzyszenia abstynenckie</w:t>
      </w:r>
      <w:bookmarkEnd w:id="51"/>
      <w:r w:rsidRPr="00CE60E9">
        <w:rPr>
          <w:rFonts w:cs="Arial"/>
          <w:sz w:val="22"/>
          <w:szCs w:val="22"/>
        </w:rPr>
        <w:t>. Jak dowodzą badania, aktywne uczestnictwo w grupach samopomocowych wzmacnia efekty leczenia uzależnienia</w:t>
      </w:r>
      <w:r w:rsidRPr="00CE60E9">
        <w:rPr>
          <w:rStyle w:val="Odwoanieprzypisudolnego"/>
          <w:rFonts w:cs="Arial"/>
          <w:sz w:val="22"/>
          <w:szCs w:val="22"/>
        </w:rPr>
        <w:footnoteReference w:id="26"/>
      </w:r>
      <w:r w:rsidRPr="00CE60E9">
        <w:rPr>
          <w:rFonts w:cs="Arial"/>
          <w:sz w:val="22"/>
          <w:szCs w:val="22"/>
        </w:rPr>
        <w:t>.</w:t>
      </w:r>
    </w:p>
    <w:p w14:paraId="119B6E6F" w14:textId="77777777" w:rsidR="004B5593" w:rsidRDefault="00955250" w:rsidP="00955250">
      <w:pPr>
        <w:tabs>
          <w:tab w:val="left" w:pos="426"/>
        </w:tabs>
        <w:spacing w:after="0" w:line="360" w:lineRule="auto"/>
        <w:ind w:firstLine="567"/>
        <w:jc w:val="both"/>
        <w:rPr>
          <w:rFonts w:cs="Arial"/>
          <w:sz w:val="22"/>
          <w:szCs w:val="22"/>
        </w:rPr>
      </w:pPr>
      <w:r w:rsidRPr="00CE60E9">
        <w:rPr>
          <w:rFonts w:cs="Arial"/>
          <w:sz w:val="22"/>
          <w:szCs w:val="22"/>
        </w:rPr>
        <w:t>Istotną formą oddziaływania (indywidualnego i/lub grupowego) są programy redukcji szkód. Ich celem jest ograniczenie szkód zdrowotnych, psychologicznych i społecznych, wynikających ze spożywania alkoholu oraz poprawa funkcjonowania psychospołecznego.</w:t>
      </w:r>
    </w:p>
    <w:p w14:paraId="7D7D08F2" w14:textId="12E85E50" w:rsidR="00955250" w:rsidRPr="00CE60E9" w:rsidRDefault="00955250" w:rsidP="00955250">
      <w:pPr>
        <w:tabs>
          <w:tab w:val="left" w:pos="426"/>
        </w:tabs>
        <w:spacing w:after="0" w:line="360" w:lineRule="auto"/>
        <w:ind w:firstLine="567"/>
        <w:jc w:val="both"/>
        <w:rPr>
          <w:rFonts w:cs="Arial"/>
          <w:sz w:val="22"/>
          <w:szCs w:val="22"/>
        </w:rPr>
      </w:pPr>
      <w:r w:rsidRPr="00CE60E9">
        <w:rPr>
          <w:rFonts w:cs="Arial"/>
          <w:sz w:val="22"/>
          <w:szCs w:val="22"/>
        </w:rPr>
        <w:t>Bezpośrednim celem niniejszych programów nie jest</w:t>
      </w:r>
      <w:r w:rsidR="004B5593">
        <w:rPr>
          <w:rFonts w:cs="Arial"/>
          <w:sz w:val="22"/>
          <w:szCs w:val="22"/>
        </w:rPr>
        <w:t>,</w:t>
      </w:r>
      <w:r w:rsidRPr="00CE60E9">
        <w:rPr>
          <w:rFonts w:cs="Arial"/>
          <w:sz w:val="22"/>
          <w:szCs w:val="22"/>
        </w:rPr>
        <w:t xml:space="preserve"> ani ograniczenie konsumpcji alkoholu, ani abstynencja, lecz zmniejszenie następstw dla osoby spożywającej alkohol i jej otoczenia, wynikających z długotrwałego, intensywnego uzależnienia (oferta adresowana do osób w</w:t>
      </w:r>
      <w:r>
        <w:rPr>
          <w:rFonts w:cs="Arial"/>
          <w:sz w:val="22"/>
          <w:szCs w:val="22"/>
        </w:rPr>
        <w:t> </w:t>
      </w:r>
      <w:r w:rsidRPr="00CE60E9">
        <w:rPr>
          <w:rFonts w:cs="Arial"/>
          <w:sz w:val="22"/>
          <w:szCs w:val="22"/>
        </w:rPr>
        <w:t>przewlekłej fazie choroby, głęboko uzależnionych, wielokrotnie leczonych</w:t>
      </w:r>
      <w:r>
        <w:rPr>
          <w:rFonts w:cs="Arial"/>
          <w:sz w:val="22"/>
          <w:szCs w:val="22"/>
        </w:rPr>
        <w:t xml:space="preserve"> </w:t>
      </w:r>
      <w:r w:rsidRPr="00CE60E9">
        <w:rPr>
          <w:rFonts w:cs="Arial"/>
          <w:sz w:val="22"/>
          <w:szCs w:val="22"/>
        </w:rPr>
        <w:t>w programach nastawionych na całkowitą abstynencję i mających trudności z jej utrzymaniem). Osoba uzależniona, uczestnicząc w tego rodzaju programie, ma szansę na poprawę stanu zdrowia i</w:t>
      </w:r>
      <w:r>
        <w:rPr>
          <w:rFonts w:cs="Arial"/>
          <w:sz w:val="22"/>
          <w:szCs w:val="22"/>
        </w:rPr>
        <w:t> </w:t>
      </w:r>
      <w:r w:rsidRPr="00CE60E9">
        <w:rPr>
          <w:rFonts w:cs="Arial"/>
          <w:sz w:val="22"/>
          <w:szCs w:val="22"/>
        </w:rPr>
        <w:t>funkcjonowania społecznego</w:t>
      </w:r>
      <w:r w:rsidRPr="00CE60E9">
        <w:rPr>
          <w:rStyle w:val="Odwoanieprzypisudolnego"/>
          <w:rFonts w:cs="Arial"/>
          <w:sz w:val="22"/>
          <w:szCs w:val="22"/>
        </w:rPr>
        <w:footnoteReference w:id="27"/>
      </w:r>
      <w:r w:rsidRPr="00CE60E9">
        <w:rPr>
          <w:rFonts w:cs="Arial"/>
          <w:sz w:val="22"/>
          <w:szCs w:val="22"/>
        </w:rPr>
        <w:t>.</w:t>
      </w:r>
    </w:p>
    <w:p w14:paraId="40CD3123" w14:textId="27CCD1F1" w:rsidR="00955250" w:rsidRPr="00317DE2" w:rsidRDefault="00955250" w:rsidP="00955250">
      <w:pPr>
        <w:tabs>
          <w:tab w:val="left" w:pos="426"/>
        </w:tabs>
        <w:spacing w:after="0" w:line="360" w:lineRule="auto"/>
        <w:ind w:firstLine="567"/>
        <w:jc w:val="both"/>
        <w:rPr>
          <w:rFonts w:cs="Arial"/>
          <w:sz w:val="22"/>
          <w:szCs w:val="22"/>
        </w:rPr>
      </w:pPr>
      <w:r w:rsidRPr="00CE60E9">
        <w:rPr>
          <w:rFonts w:cs="Arial"/>
          <w:sz w:val="22"/>
          <w:szCs w:val="22"/>
        </w:rPr>
        <w:t>Osoby uzależnione po zakończonym leczeniu odwykowym powinny uczestniczyć</w:t>
      </w:r>
      <w:r>
        <w:rPr>
          <w:rFonts w:cs="Arial"/>
          <w:sz w:val="22"/>
          <w:szCs w:val="22"/>
        </w:rPr>
        <w:t xml:space="preserve"> </w:t>
      </w:r>
      <w:r w:rsidRPr="00CE60E9">
        <w:rPr>
          <w:rFonts w:cs="Arial"/>
          <w:sz w:val="22"/>
          <w:szCs w:val="22"/>
        </w:rPr>
        <w:t>w</w:t>
      </w:r>
      <w:r>
        <w:rPr>
          <w:rFonts w:cs="Arial"/>
          <w:sz w:val="22"/>
          <w:szCs w:val="22"/>
        </w:rPr>
        <w:t> </w:t>
      </w:r>
      <w:r w:rsidRPr="00CE60E9">
        <w:rPr>
          <w:rFonts w:cs="Arial"/>
          <w:sz w:val="22"/>
          <w:szCs w:val="22"/>
        </w:rPr>
        <w:t>programach rehabilitacyjnych, których celem jest przywrócenie zdolności do samodzielnego funkcjonowania społecznego. Wymagają one (z zachowaniem abstynencji) czasowego pobytu w warunkach chronionych (hostele, domy przejściowe, mieszkania chronione), gdzie zapewniona jest opieka psychologa, terapeuty oraz wsparcie pracownika</w:t>
      </w:r>
      <w:r w:rsidRPr="00317DE2">
        <w:rPr>
          <w:rFonts w:cs="Arial"/>
          <w:sz w:val="22"/>
          <w:szCs w:val="22"/>
        </w:rPr>
        <w:t xml:space="preserve"> socjalnego. Samorząd terytorialny powinien dofinansowywać programy rehabilitacji osób uzależnionych (są one w</w:t>
      </w:r>
      <w:r>
        <w:rPr>
          <w:rFonts w:cs="Arial"/>
          <w:sz w:val="22"/>
          <w:szCs w:val="22"/>
        </w:rPr>
        <w:t> </w:t>
      </w:r>
      <w:r w:rsidRPr="00317DE2">
        <w:rPr>
          <w:rFonts w:cs="Arial"/>
          <w:sz w:val="22"/>
          <w:szCs w:val="22"/>
        </w:rPr>
        <w:t>bardzo ograniczonym zakresie finansowane przez NFZ i pomoc społeczną).</w:t>
      </w:r>
      <w:r>
        <w:rPr>
          <w:rFonts w:cs="Arial"/>
          <w:sz w:val="22"/>
          <w:szCs w:val="22"/>
        </w:rPr>
        <w:t xml:space="preserve"> </w:t>
      </w:r>
      <w:r w:rsidRPr="00317DE2">
        <w:rPr>
          <w:rFonts w:cs="Arial"/>
          <w:sz w:val="22"/>
          <w:szCs w:val="22"/>
        </w:rPr>
        <w:t>Szczególnie istotne jest finansowanie aktywizacji zawodowej osób uzależnionych</w:t>
      </w:r>
      <w:r>
        <w:rPr>
          <w:rFonts w:cs="Arial"/>
          <w:sz w:val="22"/>
          <w:szCs w:val="22"/>
        </w:rPr>
        <w:t xml:space="preserve"> </w:t>
      </w:r>
      <w:r w:rsidRPr="00317DE2">
        <w:rPr>
          <w:rFonts w:cs="Arial"/>
          <w:sz w:val="22"/>
          <w:szCs w:val="22"/>
        </w:rPr>
        <w:t>i rehabilitacji osób bezdomnych</w:t>
      </w:r>
      <w:r w:rsidRPr="00317DE2">
        <w:rPr>
          <w:rStyle w:val="Odwoanieprzypisudolnego"/>
          <w:rFonts w:cs="Arial"/>
          <w:sz w:val="22"/>
          <w:szCs w:val="22"/>
        </w:rPr>
        <w:footnoteReference w:id="28"/>
      </w:r>
      <w:r w:rsidRPr="00317DE2">
        <w:rPr>
          <w:rFonts w:cs="Arial"/>
          <w:sz w:val="22"/>
          <w:szCs w:val="22"/>
        </w:rPr>
        <w:t>.</w:t>
      </w:r>
    </w:p>
    <w:p w14:paraId="1AE2E40F" w14:textId="13BFBEF2" w:rsidR="00955250" w:rsidRPr="00317DE2" w:rsidRDefault="00955250" w:rsidP="00955250">
      <w:pPr>
        <w:spacing w:line="360" w:lineRule="auto"/>
        <w:ind w:firstLine="425"/>
        <w:jc w:val="both"/>
        <w:rPr>
          <w:rFonts w:cs="Arial"/>
          <w:sz w:val="22"/>
          <w:szCs w:val="22"/>
        </w:rPr>
      </w:pPr>
      <w:r w:rsidRPr="00CE60E9">
        <w:rPr>
          <w:rFonts w:cs="Arial"/>
          <w:sz w:val="22"/>
          <w:szCs w:val="22"/>
        </w:rPr>
        <w:t>W województwie lubelskim znajduje się 37 placówek leczenia uzależnień od alkoholu,</w:t>
      </w:r>
      <w:r w:rsidRPr="00317DE2">
        <w:rPr>
          <w:rFonts w:cs="Arial"/>
          <w:b/>
          <w:bCs/>
          <w:sz w:val="22"/>
          <w:szCs w:val="22"/>
        </w:rPr>
        <w:t xml:space="preserve"> </w:t>
      </w:r>
      <w:r w:rsidRPr="00317DE2">
        <w:rPr>
          <w:rFonts w:cs="Arial"/>
          <w:sz w:val="22"/>
          <w:szCs w:val="22"/>
        </w:rPr>
        <w:t xml:space="preserve">które w zakresie swojej działalności realizują wszystkie ww. formy leczenia. Dane dotyczące ww. placówek w poszczególnych powiatach województwa lubelskiego prezentuje tabela nr </w:t>
      </w:r>
      <w:r w:rsidR="004B5593">
        <w:rPr>
          <w:rFonts w:cs="Arial"/>
          <w:sz w:val="22"/>
          <w:szCs w:val="22"/>
        </w:rPr>
        <w:t>9</w:t>
      </w:r>
      <w:r w:rsidRPr="00317DE2">
        <w:rPr>
          <w:rFonts w:cs="Arial"/>
          <w:sz w:val="22"/>
          <w:szCs w:val="22"/>
        </w:rPr>
        <w:t>.</w:t>
      </w:r>
    </w:p>
    <w:p w14:paraId="0D53CCD9" w14:textId="16B6767F" w:rsidR="00955250" w:rsidRPr="0054713D" w:rsidRDefault="00955250" w:rsidP="00955250">
      <w:pPr>
        <w:pStyle w:val="Legenda"/>
        <w:keepNext/>
        <w:rPr>
          <w:sz w:val="20"/>
          <w:szCs w:val="16"/>
        </w:rPr>
      </w:pPr>
      <w:bookmarkStart w:id="52" w:name="_Toc214279694"/>
      <w:r w:rsidRPr="0054713D">
        <w:rPr>
          <w:sz w:val="20"/>
          <w:szCs w:val="16"/>
        </w:rPr>
        <w:lastRenderedPageBreak/>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9</w:t>
      </w:r>
      <w:r w:rsidRPr="0054713D">
        <w:rPr>
          <w:sz w:val="20"/>
          <w:szCs w:val="16"/>
        </w:rPr>
        <w:fldChar w:fldCharType="end"/>
      </w:r>
      <w:r w:rsidRPr="0054713D">
        <w:rPr>
          <w:sz w:val="20"/>
          <w:szCs w:val="16"/>
        </w:rPr>
        <w:t>. Liczba placówek leczenia uzależnień od alkoholu z podziałem na typ placówki w województwie lubelskim z uwzględnieniem powiatów</w:t>
      </w:r>
      <w:bookmarkEnd w:id="52"/>
    </w:p>
    <w:tbl>
      <w:tblPr>
        <w:tblStyle w:val="Tabela-Siatka"/>
        <w:tblW w:w="0" w:type="auto"/>
        <w:tblInd w:w="108" w:type="dxa"/>
        <w:tblLook w:val="04A0" w:firstRow="1" w:lastRow="0" w:firstColumn="1" w:lastColumn="0" w:noHBand="0" w:noVBand="1"/>
      </w:tblPr>
      <w:tblGrid>
        <w:gridCol w:w="2977"/>
        <w:gridCol w:w="2552"/>
        <w:gridCol w:w="3543"/>
      </w:tblGrid>
      <w:tr w:rsidR="00955250" w:rsidRPr="0054713D" w14:paraId="4E858756" w14:textId="77777777" w:rsidTr="003901A0">
        <w:trPr>
          <w:tblHeader/>
        </w:trPr>
        <w:tc>
          <w:tcPr>
            <w:tcW w:w="2977" w:type="dxa"/>
          </w:tcPr>
          <w:p w14:paraId="62E6598D" w14:textId="77777777" w:rsidR="00955250" w:rsidRPr="0054713D" w:rsidRDefault="00955250" w:rsidP="003901A0">
            <w:pPr>
              <w:spacing w:line="240" w:lineRule="auto"/>
              <w:jc w:val="center"/>
              <w:rPr>
                <w:rFonts w:cs="Arial"/>
                <w:b/>
                <w:bCs/>
                <w:sz w:val="20"/>
                <w:szCs w:val="16"/>
              </w:rPr>
            </w:pPr>
            <w:r w:rsidRPr="0054713D">
              <w:rPr>
                <w:rFonts w:cs="Arial"/>
                <w:b/>
                <w:bCs/>
                <w:sz w:val="20"/>
                <w:szCs w:val="16"/>
              </w:rPr>
              <w:t>Typ placówki</w:t>
            </w:r>
          </w:p>
        </w:tc>
        <w:tc>
          <w:tcPr>
            <w:tcW w:w="2552" w:type="dxa"/>
          </w:tcPr>
          <w:p w14:paraId="3A066352" w14:textId="77777777" w:rsidR="00955250" w:rsidRPr="0054713D" w:rsidRDefault="00955250" w:rsidP="003901A0">
            <w:pPr>
              <w:spacing w:line="240" w:lineRule="auto"/>
              <w:jc w:val="center"/>
              <w:rPr>
                <w:rFonts w:cs="Arial"/>
                <w:b/>
                <w:bCs/>
                <w:sz w:val="20"/>
                <w:szCs w:val="16"/>
              </w:rPr>
            </w:pPr>
            <w:r w:rsidRPr="0054713D">
              <w:rPr>
                <w:rFonts w:cs="Arial"/>
                <w:b/>
                <w:bCs/>
                <w:sz w:val="20"/>
                <w:szCs w:val="16"/>
              </w:rPr>
              <w:t>Liczba placówek w województwie lubelskim</w:t>
            </w:r>
          </w:p>
        </w:tc>
        <w:tc>
          <w:tcPr>
            <w:tcW w:w="3543" w:type="dxa"/>
          </w:tcPr>
          <w:p w14:paraId="221D0640" w14:textId="77777777" w:rsidR="00955250" w:rsidRPr="0054713D" w:rsidRDefault="00955250" w:rsidP="003901A0">
            <w:pPr>
              <w:spacing w:line="240" w:lineRule="auto"/>
              <w:jc w:val="center"/>
              <w:rPr>
                <w:rFonts w:cs="Arial"/>
                <w:b/>
                <w:bCs/>
                <w:sz w:val="20"/>
                <w:szCs w:val="16"/>
              </w:rPr>
            </w:pPr>
            <w:r w:rsidRPr="0054713D">
              <w:rPr>
                <w:rFonts w:cs="Arial"/>
                <w:b/>
                <w:bCs/>
                <w:sz w:val="20"/>
                <w:szCs w:val="16"/>
              </w:rPr>
              <w:t>Powiaty, w których występuje dany typ placówki</w:t>
            </w:r>
          </w:p>
        </w:tc>
      </w:tr>
      <w:tr w:rsidR="00955250" w:rsidRPr="0054713D" w14:paraId="01F825C3" w14:textId="77777777" w:rsidTr="003901A0">
        <w:tc>
          <w:tcPr>
            <w:tcW w:w="2977" w:type="dxa"/>
          </w:tcPr>
          <w:p w14:paraId="73A5D005" w14:textId="77777777" w:rsidR="00955250" w:rsidRPr="0054713D" w:rsidRDefault="00955250" w:rsidP="003901A0">
            <w:pPr>
              <w:spacing w:line="240" w:lineRule="auto"/>
              <w:rPr>
                <w:rFonts w:cs="Arial"/>
                <w:b/>
                <w:bCs/>
                <w:sz w:val="20"/>
                <w:szCs w:val="16"/>
              </w:rPr>
            </w:pPr>
            <w:r w:rsidRPr="0054713D">
              <w:rPr>
                <w:rFonts w:cs="Arial"/>
                <w:b/>
                <w:bCs/>
                <w:sz w:val="20"/>
                <w:szCs w:val="16"/>
              </w:rPr>
              <w:t xml:space="preserve">Całodobowy oddział terapii uzależnienia od alkoholu/leczenia uzależnień </w:t>
            </w:r>
          </w:p>
        </w:tc>
        <w:tc>
          <w:tcPr>
            <w:tcW w:w="2552" w:type="dxa"/>
          </w:tcPr>
          <w:p w14:paraId="3B2A5198" w14:textId="77777777" w:rsidR="00955250" w:rsidRPr="0054713D" w:rsidRDefault="00955250" w:rsidP="003901A0">
            <w:pPr>
              <w:spacing w:line="240" w:lineRule="auto"/>
              <w:rPr>
                <w:rFonts w:cs="Arial"/>
                <w:sz w:val="20"/>
                <w:szCs w:val="16"/>
              </w:rPr>
            </w:pPr>
            <w:r w:rsidRPr="0054713D">
              <w:rPr>
                <w:rFonts w:cs="Arial"/>
                <w:sz w:val="20"/>
                <w:szCs w:val="16"/>
              </w:rPr>
              <w:t>8</w:t>
            </w:r>
          </w:p>
        </w:tc>
        <w:tc>
          <w:tcPr>
            <w:tcW w:w="3543" w:type="dxa"/>
          </w:tcPr>
          <w:p w14:paraId="6188FEC5" w14:textId="77777777" w:rsidR="00955250" w:rsidRPr="0054713D" w:rsidRDefault="00955250" w:rsidP="003901A0">
            <w:pPr>
              <w:spacing w:after="0" w:line="240" w:lineRule="auto"/>
              <w:rPr>
                <w:rFonts w:cs="Arial"/>
                <w:sz w:val="20"/>
                <w:szCs w:val="16"/>
              </w:rPr>
            </w:pPr>
            <w:r w:rsidRPr="0054713D">
              <w:rPr>
                <w:rFonts w:cs="Arial"/>
                <w:sz w:val="20"/>
                <w:szCs w:val="16"/>
              </w:rPr>
              <w:t xml:space="preserve">m. Lublin </w:t>
            </w:r>
          </w:p>
          <w:p w14:paraId="5FA2C180" w14:textId="77777777" w:rsidR="00955250" w:rsidRPr="0054713D" w:rsidRDefault="00955250" w:rsidP="003901A0">
            <w:pPr>
              <w:spacing w:after="0" w:line="240" w:lineRule="auto"/>
              <w:rPr>
                <w:rFonts w:cs="Arial"/>
                <w:sz w:val="20"/>
                <w:szCs w:val="16"/>
              </w:rPr>
            </w:pPr>
            <w:r w:rsidRPr="0054713D">
              <w:rPr>
                <w:rFonts w:cs="Arial"/>
                <w:sz w:val="20"/>
                <w:szCs w:val="16"/>
              </w:rPr>
              <w:t>m. Chełm</w:t>
            </w:r>
          </w:p>
          <w:p w14:paraId="01E647F6" w14:textId="77777777" w:rsidR="00955250" w:rsidRPr="0054713D" w:rsidRDefault="00955250" w:rsidP="003901A0">
            <w:pPr>
              <w:spacing w:after="0" w:line="240" w:lineRule="auto"/>
              <w:rPr>
                <w:rFonts w:cs="Arial"/>
                <w:sz w:val="20"/>
                <w:szCs w:val="16"/>
              </w:rPr>
            </w:pPr>
            <w:r w:rsidRPr="0054713D">
              <w:rPr>
                <w:rFonts w:cs="Arial"/>
                <w:sz w:val="20"/>
                <w:szCs w:val="16"/>
              </w:rPr>
              <w:t>hrubieszowski</w:t>
            </w:r>
          </w:p>
          <w:p w14:paraId="7A635087" w14:textId="77777777" w:rsidR="00955250" w:rsidRPr="0054713D" w:rsidRDefault="00955250" w:rsidP="003901A0">
            <w:pPr>
              <w:spacing w:after="0" w:line="240" w:lineRule="auto"/>
              <w:rPr>
                <w:rFonts w:cs="Arial"/>
                <w:sz w:val="20"/>
                <w:szCs w:val="16"/>
              </w:rPr>
            </w:pPr>
            <w:r w:rsidRPr="0054713D">
              <w:rPr>
                <w:rFonts w:cs="Arial"/>
                <w:sz w:val="20"/>
                <w:szCs w:val="16"/>
              </w:rPr>
              <w:t>łukowski</w:t>
            </w:r>
          </w:p>
          <w:p w14:paraId="4F1532AC" w14:textId="77777777" w:rsidR="00955250" w:rsidRPr="0054713D" w:rsidRDefault="00955250" w:rsidP="003901A0">
            <w:pPr>
              <w:spacing w:after="0" w:line="240" w:lineRule="auto"/>
              <w:rPr>
                <w:rFonts w:cs="Arial"/>
                <w:sz w:val="20"/>
                <w:szCs w:val="16"/>
              </w:rPr>
            </w:pPr>
            <w:r w:rsidRPr="0054713D">
              <w:rPr>
                <w:rFonts w:cs="Arial"/>
                <w:sz w:val="20"/>
                <w:szCs w:val="16"/>
              </w:rPr>
              <w:t>parczewski</w:t>
            </w:r>
          </w:p>
          <w:p w14:paraId="7B45C2FA" w14:textId="77777777" w:rsidR="00955250" w:rsidRPr="0054713D" w:rsidRDefault="00955250" w:rsidP="003901A0">
            <w:pPr>
              <w:spacing w:after="0" w:line="240" w:lineRule="auto"/>
              <w:rPr>
                <w:rFonts w:cs="Arial"/>
                <w:sz w:val="20"/>
                <w:szCs w:val="16"/>
              </w:rPr>
            </w:pPr>
            <w:r w:rsidRPr="0054713D">
              <w:rPr>
                <w:rFonts w:cs="Arial"/>
                <w:sz w:val="20"/>
                <w:szCs w:val="16"/>
              </w:rPr>
              <w:t xml:space="preserve">radzyński (2) </w:t>
            </w:r>
          </w:p>
          <w:p w14:paraId="3E55F080" w14:textId="77777777" w:rsidR="00955250" w:rsidRPr="0054713D" w:rsidRDefault="00955250" w:rsidP="003901A0">
            <w:pPr>
              <w:spacing w:after="0" w:line="240" w:lineRule="auto"/>
              <w:rPr>
                <w:rFonts w:cs="Arial"/>
                <w:b/>
                <w:bCs/>
                <w:sz w:val="20"/>
                <w:szCs w:val="16"/>
              </w:rPr>
            </w:pPr>
            <w:r w:rsidRPr="0054713D">
              <w:rPr>
                <w:rFonts w:cs="Arial"/>
                <w:sz w:val="20"/>
                <w:szCs w:val="16"/>
              </w:rPr>
              <w:t>zamojski</w:t>
            </w:r>
          </w:p>
        </w:tc>
      </w:tr>
      <w:tr w:rsidR="00955250" w:rsidRPr="0054713D" w14:paraId="3615EF75" w14:textId="77777777" w:rsidTr="003901A0">
        <w:tc>
          <w:tcPr>
            <w:tcW w:w="2977" w:type="dxa"/>
          </w:tcPr>
          <w:p w14:paraId="27CD535A" w14:textId="77777777" w:rsidR="00955250" w:rsidRPr="0054713D" w:rsidRDefault="00955250" w:rsidP="003901A0">
            <w:pPr>
              <w:spacing w:line="240" w:lineRule="auto"/>
              <w:rPr>
                <w:rFonts w:cs="Arial"/>
                <w:b/>
                <w:bCs/>
                <w:sz w:val="20"/>
                <w:szCs w:val="16"/>
              </w:rPr>
            </w:pPr>
            <w:r w:rsidRPr="0054713D">
              <w:rPr>
                <w:rFonts w:cs="Arial"/>
                <w:b/>
                <w:bCs/>
                <w:sz w:val="20"/>
                <w:szCs w:val="16"/>
              </w:rPr>
              <w:t xml:space="preserve">Poradnia terapii uzależnienia od alkoholu / poradnie leczenia uzależnień </w:t>
            </w:r>
          </w:p>
        </w:tc>
        <w:tc>
          <w:tcPr>
            <w:tcW w:w="2552" w:type="dxa"/>
          </w:tcPr>
          <w:p w14:paraId="0B036F4E" w14:textId="77777777" w:rsidR="00955250" w:rsidRPr="0054713D" w:rsidRDefault="00955250" w:rsidP="003901A0">
            <w:pPr>
              <w:spacing w:line="240" w:lineRule="auto"/>
              <w:rPr>
                <w:rFonts w:cs="Arial"/>
                <w:sz w:val="20"/>
                <w:szCs w:val="16"/>
              </w:rPr>
            </w:pPr>
            <w:r w:rsidRPr="0054713D">
              <w:rPr>
                <w:rFonts w:cs="Arial"/>
                <w:sz w:val="20"/>
                <w:szCs w:val="16"/>
              </w:rPr>
              <w:t>21</w:t>
            </w:r>
          </w:p>
        </w:tc>
        <w:tc>
          <w:tcPr>
            <w:tcW w:w="3543" w:type="dxa"/>
          </w:tcPr>
          <w:p w14:paraId="1DD1B205" w14:textId="77777777" w:rsidR="00955250" w:rsidRPr="0054713D" w:rsidRDefault="00955250" w:rsidP="003901A0">
            <w:pPr>
              <w:spacing w:after="0" w:line="240" w:lineRule="auto"/>
              <w:rPr>
                <w:rFonts w:cs="Arial"/>
                <w:sz w:val="20"/>
                <w:szCs w:val="16"/>
              </w:rPr>
            </w:pPr>
            <w:r w:rsidRPr="0054713D">
              <w:rPr>
                <w:rFonts w:cs="Arial"/>
                <w:sz w:val="20"/>
                <w:szCs w:val="16"/>
              </w:rPr>
              <w:t>m. Lublin (2)</w:t>
            </w:r>
          </w:p>
          <w:p w14:paraId="10A72384" w14:textId="77777777" w:rsidR="00955250" w:rsidRPr="0054713D" w:rsidRDefault="00955250" w:rsidP="003901A0">
            <w:pPr>
              <w:spacing w:after="0" w:line="240" w:lineRule="auto"/>
              <w:rPr>
                <w:rFonts w:cs="Arial"/>
                <w:sz w:val="20"/>
                <w:szCs w:val="16"/>
              </w:rPr>
            </w:pPr>
            <w:r w:rsidRPr="0054713D">
              <w:rPr>
                <w:rFonts w:cs="Arial"/>
                <w:sz w:val="20"/>
                <w:szCs w:val="16"/>
              </w:rPr>
              <w:t>biłgorajski</w:t>
            </w:r>
          </w:p>
          <w:p w14:paraId="770A2D2E" w14:textId="77777777" w:rsidR="00955250" w:rsidRPr="0054713D" w:rsidRDefault="00955250" w:rsidP="003901A0">
            <w:pPr>
              <w:spacing w:after="0" w:line="240" w:lineRule="auto"/>
              <w:rPr>
                <w:rFonts w:cs="Arial"/>
                <w:sz w:val="20"/>
                <w:szCs w:val="16"/>
              </w:rPr>
            </w:pPr>
            <w:r w:rsidRPr="0054713D">
              <w:rPr>
                <w:rFonts w:cs="Arial"/>
                <w:sz w:val="20"/>
                <w:szCs w:val="16"/>
              </w:rPr>
              <w:t>hrubieszowski</w:t>
            </w:r>
          </w:p>
          <w:p w14:paraId="5C7440AF" w14:textId="77777777" w:rsidR="00955250" w:rsidRPr="0054713D" w:rsidRDefault="00955250" w:rsidP="003901A0">
            <w:pPr>
              <w:spacing w:after="0" w:line="240" w:lineRule="auto"/>
              <w:rPr>
                <w:rFonts w:cs="Arial"/>
                <w:sz w:val="20"/>
                <w:szCs w:val="16"/>
              </w:rPr>
            </w:pPr>
            <w:r w:rsidRPr="0054713D">
              <w:rPr>
                <w:rFonts w:cs="Arial"/>
                <w:sz w:val="20"/>
                <w:szCs w:val="16"/>
              </w:rPr>
              <w:t xml:space="preserve">janowski </w:t>
            </w:r>
          </w:p>
          <w:p w14:paraId="72E266E4" w14:textId="77777777" w:rsidR="00955250" w:rsidRPr="0054713D" w:rsidRDefault="00955250" w:rsidP="003901A0">
            <w:pPr>
              <w:spacing w:after="0" w:line="240" w:lineRule="auto"/>
              <w:rPr>
                <w:rFonts w:cs="Arial"/>
                <w:sz w:val="20"/>
                <w:szCs w:val="16"/>
              </w:rPr>
            </w:pPr>
            <w:r w:rsidRPr="0054713D">
              <w:rPr>
                <w:rFonts w:cs="Arial"/>
                <w:sz w:val="20"/>
                <w:szCs w:val="16"/>
              </w:rPr>
              <w:t>krasnostawski</w:t>
            </w:r>
          </w:p>
          <w:p w14:paraId="7292398D" w14:textId="77777777" w:rsidR="00955250" w:rsidRPr="0054713D" w:rsidRDefault="00955250" w:rsidP="003901A0">
            <w:pPr>
              <w:spacing w:after="0" w:line="240" w:lineRule="auto"/>
              <w:rPr>
                <w:rFonts w:cs="Arial"/>
                <w:sz w:val="20"/>
                <w:szCs w:val="16"/>
              </w:rPr>
            </w:pPr>
            <w:r w:rsidRPr="0054713D">
              <w:rPr>
                <w:rFonts w:cs="Arial"/>
                <w:sz w:val="20"/>
                <w:szCs w:val="16"/>
              </w:rPr>
              <w:t xml:space="preserve">kraśnicki </w:t>
            </w:r>
          </w:p>
          <w:p w14:paraId="6EB6D8D2" w14:textId="77777777" w:rsidR="00955250" w:rsidRPr="0054713D" w:rsidRDefault="00955250" w:rsidP="003901A0">
            <w:pPr>
              <w:spacing w:after="0" w:line="240" w:lineRule="auto"/>
              <w:rPr>
                <w:rFonts w:cs="Arial"/>
                <w:sz w:val="20"/>
                <w:szCs w:val="16"/>
              </w:rPr>
            </w:pPr>
            <w:r w:rsidRPr="0054713D">
              <w:rPr>
                <w:rFonts w:cs="Arial"/>
                <w:sz w:val="20"/>
                <w:szCs w:val="16"/>
              </w:rPr>
              <w:t xml:space="preserve">lubelski </w:t>
            </w:r>
          </w:p>
          <w:p w14:paraId="77A8E134" w14:textId="77777777" w:rsidR="00955250" w:rsidRPr="0054713D" w:rsidRDefault="00955250" w:rsidP="003901A0">
            <w:pPr>
              <w:spacing w:after="0" w:line="240" w:lineRule="auto"/>
              <w:rPr>
                <w:rFonts w:cs="Arial"/>
                <w:sz w:val="20"/>
                <w:szCs w:val="16"/>
              </w:rPr>
            </w:pPr>
            <w:r w:rsidRPr="0054713D">
              <w:rPr>
                <w:rFonts w:cs="Arial"/>
                <w:sz w:val="20"/>
                <w:szCs w:val="16"/>
              </w:rPr>
              <w:t xml:space="preserve">łukowski </w:t>
            </w:r>
          </w:p>
          <w:p w14:paraId="24D47DE8" w14:textId="77777777" w:rsidR="00955250" w:rsidRPr="0054713D" w:rsidRDefault="00955250" w:rsidP="003901A0">
            <w:pPr>
              <w:spacing w:after="0" w:line="240" w:lineRule="auto"/>
              <w:rPr>
                <w:rFonts w:cs="Arial"/>
                <w:sz w:val="20"/>
                <w:szCs w:val="16"/>
              </w:rPr>
            </w:pPr>
            <w:r w:rsidRPr="0054713D">
              <w:rPr>
                <w:rFonts w:cs="Arial"/>
                <w:sz w:val="20"/>
                <w:szCs w:val="16"/>
              </w:rPr>
              <w:t>m. Biała Podlaska (2)</w:t>
            </w:r>
          </w:p>
          <w:p w14:paraId="06EEE40F" w14:textId="77777777" w:rsidR="00955250" w:rsidRPr="0054713D" w:rsidRDefault="00955250" w:rsidP="003901A0">
            <w:pPr>
              <w:spacing w:after="0" w:line="240" w:lineRule="auto"/>
              <w:rPr>
                <w:rFonts w:cs="Arial"/>
                <w:sz w:val="20"/>
                <w:szCs w:val="16"/>
              </w:rPr>
            </w:pPr>
            <w:r w:rsidRPr="0054713D">
              <w:rPr>
                <w:rFonts w:cs="Arial"/>
                <w:sz w:val="20"/>
                <w:szCs w:val="16"/>
              </w:rPr>
              <w:t xml:space="preserve">m. Chełm (2) </w:t>
            </w:r>
          </w:p>
          <w:p w14:paraId="15AFBE76" w14:textId="77777777" w:rsidR="00955250" w:rsidRPr="0054713D" w:rsidRDefault="00955250" w:rsidP="003901A0">
            <w:pPr>
              <w:spacing w:after="0" w:line="240" w:lineRule="auto"/>
              <w:rPr>
                <w:rFonts w:cs="Arial"/>
                <w:sz w:val="20"/>
                <w:szCs w:val="16"/>
              </w:rPr>
            </w:pPr>
            <w:r w:rsidRPr="0054713D">
              <w:rPr>
                <w:rFonts w:cs="Arial"/>
                <w:sz w:val="20"/>
                <w:szCs w:val="16"/>
              </w:rPr>
              <w:t xml:space="preserve">m. Zamość </w:t>
            </w:r>
          </w:p>
          <w:p w14:paraId="122A7263" w14:textId="77777777" w:rsidR="00955250" w:rsidRPr="0054713D" w:rsidRDefault="00955250" w:rsidP="003901A0">
            <w:pPr>
              <w:spacing w:after="0" w:line="240" w:lineRule="auto"/>
              <w:rPr>
                <w:rFonts w:cs="Arial"/>
                <w:sz w:val="20"/>
                <w:szCs w:val="16"/>
              </w:rPr>
            </w:pPr>
            <w:r w:rsidRPr="0054713D">
              <w:rPr>
                <w:rFonts w:cs="Arial"/>
                <w:sz w:val="20"/>
                <w:szCs w:val="16"/>
              </w:rPr>
              <w:t xml:space="preserve">opolski </w:t>
            </w:r>
          </w:p>
          <w:p w14:paraId="0172F851" w14:textId="77777777" w:rsidR="00955250" w:rsidRPr="0054713D" w:rsidRDefault="00955250" w:rsidP="003901A0">
            <w:pPr>
              <w:spacing w:after="0" w:line="240" w:lineRule="auto"/>
              <w:rPr>
                <w:rFonts w:cs="Arial"/>
                <w:sz w:val="20"/>
                <w:szCs w:val="16"/>
              </w:rPr>
            </w:pPr>
            <w:r w:rsidRPr="0054713D">
              <w:rPr>
                <w:rFonts w:cs="Arial"/>
                <w:sz w:val="20"/>
                <w:szCs w:val="16"/>
              </w:rPr>
              <w:t xml:space="preserve">parczewski </w:t>
            </w:r>
          </w:p>
          <w:p w14:paraId="32ACDF51" w14:textId="77777777" w:rsidR="00955250" w:rsidRPr="0054713D" w:rsidRDefault="00955250" w:rsidP="003901A0">
            <w:pPr>
              <w:spacing w:after="0" w:line="240" w:lineRule="auto"/>
              <w:rPr>
                <w:rFonts w:cs="Arial"/>
                <w:sz w:val="20"/>
                <w:szCs w:val="16"/>
              </w:rPr>
            </w:pPr>
            <w:r w:rsidRPr="0054713D">
              <w:rPr>
                <w:rFonts w:cs="Arial"/>
                <w:sz w:val="20"/>
                <w:szCs w:val="16"/>
              </w:rPr>
              <w:t xml:space="preserve">puławski </w:t>
            </w:r>
          </w:p>
          <w:p w14:paraId="2D00007E" w14:textId="77777777" w:rsidR="00955250" w:rsidRPr="0054713D" w:rsidRDefault="00955250" w:rsidP="003901A0">
            <w:pPr>
              <w:spacing w:after="0" w:line="240" w:lineRule="auto"/>
              <w:rPr>
                <w:rFonts w:cs="Arial"/>
                <w:sz w:val="20"/>
                <w:szCs w:val="16"/>
              </w:rPr>
            </w:pPr>
            <w:r w:rsidRPr="0054713D">
              <w:rPr>
                <w:rFonts w:cs="Arial"/>
                <w:sz w:val="20"/>
                <w:szCs w:val="16"/>
              </w:rPr>
              <w:t xml:space="preserve">radzyński </w:t>
            </w:r>
          </w:p>
          <w:p w14:paraId="741FAD7C" w14:textId="77777777" w:rsidR="00955250" w:rsidRPr="0054713D" w:rsidRDefault="00955250" w:rsidP="003901A0">
            <w:pPr>
              <w:spacing w:after="0" w:line="240" w:lineRule="auto"/>
              <w:rPr>
                <w:rFonts w:cs="Arial"/>
                <w:sz w:val="20"/>
                <w:szCs w:val="16"/>
              </w:rPr>
            </w:pPr>
            <w:r w:rsidRPr="0054713D">
              <w:rPr>
                <w:rFonts w:cs="Arial"/>
                <w:sz w:val="20"/>
                <w:szCs w:val="16"/>
              </w:rPr>
              <w:t xml:space="preserve">świdnicki </w:t>
            </w:r>
          </w:p>
          <w:p w14:paraId="7E4F7015" w14:textId="77777777" w:rsidR="00955250" w:rsidRPr="0054713D" w:rsidRDefault="00955250" w:rsidP="003901A0">
            <w:pPr>
              <w:spacing w:after="0" w:line="240" w:lineRule="auto"/>
              <w:rPr>
                <w:rFonts w:cs="Arial"/>
                <w:sz w:val="20"/>
                <w:szCs w:val="16"/>
              </w:rPr>
            </w:pPr>
            <w:r w:rsidRPr="0054713D">
              <w:rPr>
                <w:rFonts w:cs="Arial"/>
                <w:sz w:val="20"/>
                <w:szCs w:val="16"/>
              </w:rPr>
              <w:t xml:space="preserve">tomaszowski </w:t>
            </w:r>
          </w:p>
          <w:p w14:paraId="488BCBCA" w14:textId="77777777" w:rsidR="00955250" w:rsidRPr="0054713D" w:rsidRDefault="00955250" w:rsidP="003901A0">
            <w:pPr>
              <w:spacing w:after="0" w:line="240" w:lineRule="auto"/>
              <w:rPr>
                <w:rFonts w:cs="Arial"/>
                <w:b/>
                <w:bCs/>
                <w:sz w:val="20"/>
                <w:szCs w:val="16"/>
              </w:rPr>
            </w:pPr>
            <w:r w:rsidRPr="0054713D">
              <w:rPr>
                <w:rFonts w:cs="Arial"/>
                <w:sz w:val="20"/>
                <w:szCs w:val="16"/>
              </w:rPr>
              <w:t xml:space="preserve">włodawski  </w:t>
            </w:r>
          </w:p>
        </w:tc>
      </w:tr>
      <w:tr w:rsidR="00955250" w:rsidRPr="0054713D" w14:paraId="6B16316C" w14:textId="77777777" w:rsidTr="003901A0">
        <w:tc>
          <w:tcPr>
            <w:tcW w:w="2977" w:type="dxa"/>
          </w:tcPr>
          <w:p w14:paraId="029024A3" w14:textId="77777777" w:rsidR="00955250" w:rsidRPr="0054713D" w:rsidRDefault="00955250" w:rsidP="003901A0">
            <w:pPr>
              <w:spacing w:line="240" w:lineRule="auto"/>
              <w:rPr>
                <w:rFonts w:cs="Arial"/>
                <w:b/>
                <w:bCs/>
                <w:sz w:val="20"/>
                <w:szCs w:val="16"/>
              </w:rPr>
            </w:pPr>
            <w:r w:rsidRPr="0054713D">
              <w:rPr>
                <w:rFonts w:cs="Arial"/>
                <w:b/>
                <w:bCs/>
                <w:sz w:val="20"/>
                <w:szCs w:val="16"/>
              </w:rPr>
              <w:t>Dzienny oddział terapii uzależnienia od alkoholu/ leczenia uzależnień DOTUA</w:t>
            </w:r>
          </w:p>
        </w:tc>
        <w:tc>
          <w:tcPr>
            <w:tcW w:w="2552" w:type="dxa"/>
          </w:tcPr>
          <w:p w14:paraId="6EDA3F7A" w14:textId="77777777" w:rsidR="00955250" w:rsidRPr="0054713D" w:rsidRDefault="00955250" w:rsidP="003901A0">
            <w:pPr>
              <w:spacing w:line="240" w:lineRule="auto"/>
              <w:rPr>
                <w:rFonts w:cs="Arial"/>
                <w:sz w:val="20"/>
                <w:szCs w:val="16"/>
              </w:rPr>
            </w:pPr>
            <w:r w:rsidRPr="0054713D">
              <w:rPr>
                <w:rFonts w:cs="Arial"/>
                <w:sz w:val="20"/>
                <w:szCs w:val="16"/>
              </w:rPr>
              <w:t>6</w:t>
            </w:r>
          </w:p>
        </w:tc>
        <w:tc>
          <w:tcPr>
            <w:tcW w:w="3543" w:type="dxa"/>
          </w:tcPr>
          <w:p w14:paraId="45C2295A" w14:textId="77777777" w:rsidR="00955250" w:rsidRPr="0054713D" w:rsidRDefault="00955250" w:rsidP="003901A0">
            <w:pPr>
              <w:spacing w:after="0" w:line="240" w:lineRule="auto"/>
              <w:rPr>
                <w:rFonts w:cs="Arial"/>
                <w:sz w:val="20"/>
                <w:szCs w:val="16"/>
              </w:rPr>
            </w:pPr>
            <w:r w:rsidRPr="0054713D">
              <w:rPr>
                <w:rFonts w:cs="Arial"/>
                <w:sz w:val="20"/>
                <w:szCs w:val="16"/>
              </w:rPr>
              <w:t xml:space="preserve">m. Lublin (2) </w:t>
            </w:r>
          </w:p>
          <w:p w14:paraId="44B9402E" w14:textId="77777777" w:rsidR="00955250" w:rsidRPr="0054713D" w:rsidRDefault="00955250" w:rsidP="003901A0">
            <w:pPr>
              <w:spacing w:after="0" w:line="240" w:lineRule="auto"/>
              <w:rPr>
                <w:rFonts w:cs="Arial"/>
                <w:sz w:val="20"/>
                <w:szCs w:val="16"/>
              </w:rPr>
            </w:pPr>
            <w:r w:rsidRPr="0054713D">
              <w:rPr>
                <w:rFonts w:cs="Arial"/>
                <w:sz w:val="20"/>
                <w:szCs w:val="16"/>
              </w:rPr>
              <w:t xml:space="preserve">krasnostawski </w:t>
            </w:r>
          </w:p>
          <w:p w14:paraId="11E0006D" w14:textId="77777777" w:rsidR="00955250" w:rsidRPr="0054713D" w:rsidRDefault="00955250" w:rsidP="003901A0">
            <w:pPr>
              <w:spacing w:after="0" w:line="240" w:lineRule="auto"/>
              <w:rPr>
                <w:rFonts w:cs="Arial"/>
                <w:sz w:val="20"/>
                <w:szCs w:val="16"/>
              </w:rPr>
            </w:pPr>
            <w:r w:rsidRPr="0054713D">
              <w:rPr>
                <w:rFonts w:cs="Arial"/>
                <w:sz w:val="20"/>
                <w:szCs w:val="16"/>
              </w:rPr>
              <w:t xml:space="preserve">łukowski </w:t>
            </w:r>
          </w:p>
          <w:p w14:paraId="597D15A9" w14:textId="77777777" w:rsidR="00955250" w:rsidRPr="0054713D" w:rsidRDefault="00955250" w:rsidP="003901A0">
            <w:pPr>
              <w:spacing w:after="0" w:line="240" w:lineRule="auto"/>
              <w:rPr>
                <w:rFonts w:cs="Arial"/>
                <w:sz w:val="20"/>
                <w:szCs w:val="16"/>
              </w:rPr>
            </w:pPr>
            <w:r w:rsidRPr="0054713D">
              <w:rPr>
                <w:rFonts w:cs="Arial"/>
                <w:sz w:val="20"/>
                <w:szCs w:val="16"/>
              </w:rPr>
              <w:t xml:space="preserve">m. Chełm </w:t>
            </w:r>
          </w:p>
          <w:p w14:paraId="2EB4D9D9" w14:textId="77777777" w:rsidR="00955250" w:rsidRPr="0054713D" w:rsidRDefault="00955250" w:rsidP="003901A0">
            <w:pPr>
              <w:spacing w:after="0" w:line="240" w:lineRule="auto"/>
              <w:rPr>
                <w:rFonts w:cs="Arial"/>
                <w:b/>
                <w:bCs/>
                <w:sz w:val="20"/>
                <w:szCs w:val="16"/>
              </w:rPr>
            </w:pPr>
            <w:r w:rsidRPr="0054713D">
              <w:rPr>
                <w:rFonts w:cs="Arial"/>
                <w:sz w:val="20"/>
                <w:szCs w:val="16"/>
              </w:rPr>
              <w:t>parczewski</w:t>
            </w:r>
          </w:p>
        </w:tc>
      </w:tr>
      <w:tr w:rsidR="00955250" w:rsidRPr="0054713D" w14:paraId="1DC8440C" w14:textId="77777777" w:rsidTr="003901A0">
        <w:tc>
          <w:tcPr>
            <w:tcW w:w="2977" w:type="dxa"/>
          </w:tcPr>
          <w:p w14:paraId="4D72E309" w14:textId="77777777" w:rsidR="00955250" w:rsidRPr="0054713D" w:rsidRDefault="00955250" w:rsidP="003901A0">
            <w:pPr>
              <w:spacing w:line="240" w:lineRule="auto"/>
              <w:rPr>
                <w:rFonts w:cs="Arial"/>
                <w:b/>
                <w:bCs/>
                <w:sz w:val="20"/>
                <w:szCs w:val="16"/>
              </w:rPr>
            </w:pPr>
            <w:r w:rsidRPr="0054713D">
              <w:rPr>
                <w:rFonts w:cs="Arial"/>
                <w:b/>
                <w:bCs/>
                <w:sz w:val="20"/>
                <w:szCs w:val="16"/>
              </w:rPr>
              <w:t>Oddział leczenia alkoholowych zespołów abstynencyjnych OLAZA</w:t>
            </w:r>
          </w:p>
        </w:tc>
        <w:tc>
          <w:tcPr>
            <w:tcW w:w="2552" w:type="dxa"/>
          </w:tcPr>
          <w:p w14:paraId="4B7CB233" w14:textId="77777777" w:rsidR="00955250" w:rsidRPr="0054713D" w:rsidRDefault="00955250" w:rsidP="003901A0">
            <w:pPr>
              <w:spacing w:line="240" w:lineRule="auto"/>
              <w:rPr>
                <w:rFonts w:cs="Arial"/>
                <w:sz w:val="20"/>
                <w:szCs w:val="16"/>
              </w:rPr>
            </w:pPr>
            <w:r w:rsidRPr="0054713D">
              <w:rPr>
                <w:rFonts w:cs="Arial"/>
                <w:sz w:val="20"/>
                <w:szCs w:val="16"/>
              </w:rPr>
              <w:t>2</w:t>
            </w:r>
          </w:p>
        </w:tc>
        <w:tc>
          <w:tcPr>
            <w:tcW w:w="3543" w:type="dxa"/>
          </w:tcPr>
          <w:p w14:paraId="09CD37E1" w14:textId="77777777" w:rsidR="00955250" w:rsidRPr="0054713D" w:rsidRDefault="00955250" w:rsidP="003901A0">
            <w:pPr>
              <w:spacing w:after="0" w:line="240" w:lineRule="auto"/>
              <w:rPr>
                <w:rFonts w:cs="Arial"/>
                <w:sz w:val="20"/>
                <w:szCs w:val="16"/>
              </w:rPr>
            </w:pPr>
            <w:r w:rsidRPr="0054713D">
              <w:rPr>
                <w:rFonts w:cs="Arial"/>
                <w:sz w:val="20"/>
                <w:szCs w:val="16"/>
              </w:rPr>
              <w:t>łukowski</w:t>
            </w:r>
          </w:p>
          <w:p w14:paraId="20E5750D" w14:textId="77777777" w:rsidR="00955250" w:rsidRPr="0054713D" w:rsidRDefault="00955250" w:rsidP="003901A0">
            <w:pPr>
              <w:spacing w:after="0" w:line="240" w:lineRule="auto"/>
              <w:rPr>
                <w:rFonts w:cs="Arial"/>
                <w:b/>
                <w:bCs/>
                <w:sz w:val="20"/>
                <w:szCs w:val="16"/>
              </w:rPr>
            </w:pPr>
            <w:r w:rsidRPr="0054713D">
              <w:rPr>
                <w:rFonts w:cs="Arial"/>
                <w:sz w:val="20"/>
                <w:szCs w:val="16"/>
              </w:rPr>
              <w:t>m. Lublin</w:t>
            </w:r>
          </w:p>
        </w:tc>
      </w:tr>
    </w:tbl>
    <w:p w14:paraId="26E74F69" w14:textId="1142556F" w:rsidR="00955250" w:rsidRPr="00EF0A89" w:rsidRDefault="00955250" w:rsidP="00955250">
      <w:pPr>
        <w:spacing w:after="240" w:line="240" w:lineRule="auto"/>
        <w:ind w:firstLine="425"/>
        <w:jc w:val="both"/>
        <w:rPr>
          <w:rFonts w:cs="Arial"/>
          <w:sz w:val="18"/>
          <w:szCs w:val="18"/>
        </w:rPr>
      </w:pPr>
      <w:r w:rsidRPr="00EF0A89">
        <w:rPr>
          <w:rFonts w:cs="Arial"/>
          <w:sz w:val="18"/>
          <w:szCs w:val="18"/>
        </w:rPr>
        <w:t xml:space="preserve">Źródło: Opracowanie własne na podstawie danych </w:t>
      </w:r>
      <w:r w:rsidR="00EF0A89" w:rsidRPr="00EF0A89">
        <w:rPr>
          <w:rFonts w:cs="Arial"/>
          <w:sz w:val="18"/>
          <w:szCs w:val="18"/>
        </w:rPr>
        <w:t xml:space="preserve">KCPU, </w:t>
      </w:r>
    </w:p>
    <w:p w14:paraId="12DE3AD3" w14:textId="77777777" w:rsidR="00955250" w:rsidRPr="00317DE2" w:rsidRDefault="00955250" w:rsidP="00955250">
      <w:pPr>
        <w:spacing w:after="0" w:line="360" w:lineRule="auto"/>
        <w:ind w:firstLine="426"/>
        <w:jc w:val="both"/>
        <w:rPr>
          <w:rFonts w:cs="Arial"/>
          <w:sz w:val="22"/>
          <w:szCs w:val="22"/>
        </w:rPr>
      </w:pPr>
      <w:r w:rsidRPr="008955AD">
        <w:rPr>
          <w:rStyle w:val="Hipercze"/>
          <w:rFonts w:cs="Arial"/>
          <w:color w:val="auto"/>
          <w:sz w:val="22"/>
          <w:szCs w:val="22"/>
          <w:u w:val="none"/>
        </w:rPr>
        <w:t>Na terenie województwa funkcjonuje 21 Poradni terapii uzależnienia od alkoholu</w:t>
      </w:r>
      <w:r w:rsidRPr="00317DE2">
        <w:rPr>
          <w:rStyle w:val="Hipercze"/>
          <w:rFonts w:cs="Arial"/>
          <w:color w:val="auto"/>
          <w:sz w:val="22"/>
          <w:szCs w:val="22"/>
          <w:u w:val="none"/>
        </w:rPr>
        <w:br/>
        <w:t xml:space="preserve"> i współuzależnienia/leczenia uzależnień</w:t>
      </w:r>
      <w:r>
        <w:rPr>
          <w:rStyle w:val="Hipercze"/>
          <w:rFonts w:cs="Arial"/>
          <w:color w:val="auto"/>
          <w:sz w:val="22"/>
          <w:szCs w:val="22"/>
          <w:u w:val="none"/>
        </w:rPr>
        <w:t>,</w:t>
      </w:r>
      <w:r w:rsidRPr="00317DE2">
        <w:rPr>
          <w:rStyle w:val="Hipercze"/>
          <w:rFonts w:cs="Arial"/>
          <w:color w:val="auto"/>
          <w:sz w:val="22"/>
          <w:szCs w:val="22"/>
          <w:u w:val="none"/>
        </w:rPr>
        <w:t xml:space="preserve"> do których mogą zgłosić się osoby z problemem alkoholowym oraz członkowie ich rodzin. 8 placówek w województwie lubelskim zapewnia możliwość całodobowego leczenia w całodobowych oddziałach terapii uzależnienia od alkoholu/leczenia uzależnień. Oferta terapeutyczna zapewniana jest także przez</w:t>
      </w:r>
      <w:r w:rsidRPr="00317DE2">
        <w:rPr>
          <w:rStyle w:val="Hipercze"/>
          <w:rFonts w:cs="Arial"/>
          <w:color w:val="auto"/>
          <w:sz w:val="22"/>
          <w:szCs w:val="22"/>
          <w:u w:val="none"/>
        </w:rPr>
        <w:br/>
        <w:t>6 funkcjonujących dziennych oddziałów terapii uzależnienia od alkoholu/leczenia uzależnień. Leczenie alkoholowych zespołów abstynencyjnych zapewniają 2 placówki.</w:t>
      </w:r>
    </w:p>
    <w:p w14:paraId="728375A9" w14:textId="77777777" w:rsidR="00955250" w:rsidRDefault="00955250" w:rsidP="00955250">
      <w:pPr>
        <w:spacing w:line="360" w:lineRule="auto"/>
        <w:ind w:firstLine="426"/>
        <w:jc w:val="both"/>
        <w:rPr>
          <w:rFonts w:cs="Arial"/>
          <w:sz w:val="22"/>
          <w:szCs w:val="22"/>
        </w:rPr>
      </w:pPr>
      <w:r w:rsidRPr="00317DE2">
        <w:rPr>
          <w:rFonts w:cs="Arial"/>
          <w:sz w:val="22"/>
          <w:szCs w:val="22"/>
        </w:rPr>
        <w:t>Uzależnienie od alkoholu stanowi znaczący problem dla zdrowia publicznego. Jednym</w:t>
      </w:r>
      <w:r w:rsidRPr="00317DE2">
        <w:rPr>
          <w:rFonts w:cs="Arial"/>
          <w:sz w:val="22"/>
          <w:szCs w:val="22"/>
        </w:rPr>
        <w:br/>
        <w:t xml:space="preserve">z konsekwencji spożywania ww. substancji psychoaktywnej są zaburzenia psychiczne oraz zaburzenia zachowania. </w:t>
      </w:r>
    </w:p>
    <w:p w14:paraId="3845B966" w14:textId="5AFBA624" w:rsidR="00955250" w:rsidRPr="008955AD" w:rsidRDefault="00955250" w:rsidP="004B5593">
      <w:pPr>
        <w:spacing w:after="0" w:line="360" w:lineRule="auto"/>
        <w:ind w:firstLine="426"/>
        <w:jc w:val="both"/>
        <w:rPr>
          <w:rFonts w:cs="Arial"/>
          <w:sz w:val="22"/>
          <w:szCs w:val="22"/>
        </w:rPr>
      </w:pPr>
      <w:r w:rsidRPr="008955AD">
        <w:rPr>
          <w:rFonts w:cs="Arial"/>
          <w:sz w:val="22"/>
          <w:szCs w:val="22"/>
        </w:rPr>
        <w:lastRenderedPageBreak/>
        <w:t>Liczba osób dorosłych z zaburzeniem psychicznym i zaburzeniem zachowania spowodowanym użyciem alkoholu w 2023 r</w:t>
      </w:r>
      <w:r w:rsidR="004B5593">
        <w:rPr>
          <w:rFonts w:cs="Arial"/>
          <w:sz w:val="22"/>
          <w:szCs w:val="22"/>
        </w:rPr>
        <w:t>oku</w:t>
      </w:r>
      <w:r w:rsidRPr="008955AD">
        <w:rPr>
          <w:rFonts w:cs="Arial"/>
          <w:sz w:val="22"/>
          <w:szCs w:val="22"/>
        </w:rPr>
        <w:t xml:space="preserve"> wyniosły 7 059 osób.</w:t>
      </w:r>
      <w:r w:rsidRPr="008955AD">
        <w:rPr>
          <w:rFonts w:cs="Arial"/>
          <w:sz w:val="22"/>
          <w:szCs w:val="22"/>
          <w:vertAlign w:val="superscript"/>
        </w:rPr>
        <w:footnoteReference w:id="29"/>
      </w:r>
      <w:r w:rsidRPr="008955AD">
        <w:rPr>
          <w:rFonts w:cs="Arial"/>
          <w:sz w:val="22"/>
          <w:szCs w:val="22"/>
        </w:rPr>
        <w:t xml:space="preserve"> </w:t>
      </w:r>
    </w:p>
    <w:p w14:paraId="65E65232" w14:textId="779ED148" w:rsidR="00955250" w:rsidRPr="008955AD" w:rsidRDefault="00955250" w:rsidP="00955250">
      <w:pPr>
        <w:spacing w:line="360" w:lineRule="auto"/>
        <w:ind w:firstLine="567"/>
        <w:jc w:val="both"/>
        <w:rPr>
          <w:rFonts w:cs="Arial"/>
          <w:sz w:val="22"/>
          <w:szCs w:val="22"/>
        </w:rPr>
      </w:pPr>
      <w:r w:rsidRPr="008955AD">
        <w:rPr>
          <w:rFonts w:cs="Arial"/>
          <w:sz w:val="22"/>
          <w:szCs w:val="22"/>
        </w:rPr>
        <w:t>Samorząd Województwa Lubelskiego jest podmiotem tworzącym dla następujących samodzielnych publicznych zakładów opieki zdrowotnej, w zakresie których znajdują się kompetencje przeciwdziałania uzależnieniom, w tym alkoholizmowi:</w:t>
      </w:r>
    </w:p>
    <w:p w14:paraId="4FEC47B1" w14:textId="77777777" w:rsidR="00955250" w:rsidRPr="008955AD" w:rsidRDefault="00955250" w:rsidP="00955250">
      <w:pPr>
        <w:numPr>
          <w:ilvl w:val="0"/>
          <w:numId w:val="32"/>
        </w:numPr>
        <w:shd w:val="clear" w:color="auto" w:fill="FFFFFF"/>
        <w:spacing w:after="0" w:line="360" w:lineRule="auto"/>
        <w:jc w:val="both"/>
        <w:rPr>
          <w:rFonts w:cs="Arial"/>
          <w:sz w:val="22"/>
          <w:szCs w:val="22"/>
        </w:rPr>
      </w:pPr>
      <w:r w:rsidRPr="008955AD">
        <w:rPr>
          <w:rFonts w:cs="Arial"/>
          <w:sz w:val="22"/>
          <w:szCs w:val="22"/>
        </w:rPr>
        <w:t>Wojewódzki Szpital dla Nerwowo i Psychicznie Chorych w Suchowoli;</w:t>
      </w:r>
    </w:p>
    <w:p w14:paraId="368730FC" w14:textId="77777777" w:rsidR="00955250" w:rsidRPr="008955AD" w:rsidRDefault="00955250" w:rsidP="00955250">
      <w:pPr>
        <w:numPr>
          <w:ilvl w:val="0"/>
          <w:numId w:val="32"/>
        </w:numPr>
        <w:shd w:val="clear" w:color="auto" w:fill="FFFFFF"/>
        <w:spacing w:after="0" w:line="360" w:lineRule="auto"/>
        <w:jc w:val="both"/>
        <w:rPr>
          <w:rFonts w:cs="Arial"/>
          <w:sz w:val="22"/>
          <w:szCs w:val="22"/>
        </w:rPr>
      </w:pPr>
      <w:r w:rsidRPr="008955AD">
        <w:rPr>
          <w:rFonts w:cs="Arial"/>
          <w:sz w:val="22"/>
          <w:szCs w:val="22"/>
        </w:rPr>
        <w:t>Szpital Neuropsychiatryczny im. Prof. Mieczysława Kaczyńskiego Samodzielny Publiczny Zakład Opieki Zdrowotnej w Lublinie;</w:t>
      </w:r>
    </w:p>
    <w:p w14:paraId="7B6F0BA9" w14:textId="77777777" w:rsidR="00955250" w:rsidRPr="008955AD" w:rsidRDefault="00955250" w:rsidP="00955250">
      <w:pPr>
        <w:numPr>
          <w:ilvl w:val="0"/>
          <w:numId w:val="32"/>
        </w:numPr>
        <w:shd w:val="clear" w:color="auto" w:fill="FFFFFF"/>
        <w:spacing w:after="0" w:line="360" w:lineRule="auto"/>
        <w:jc w:val="both"/>
        <w:rPr>
          <w:rFonts w:cs="Arial"/>
          <w:sz w:val="22"/>
          <w:szCs w:val="22"/>
        </w:rPr>
      </w:pPr>
      <w:r w:rsidRPr="008955AD">
        <w:rPr>
          <w:rFonts w:cs="Arial"/>
          <w:sz w:val="22"/>
          <w:szCs w:val="22"/>
        </w:rPr>
        <w:t>Samodzielny Publiczny Wojewódzki Szpital Psychiatryczny w Radecznicy;</w:t>
      </w:r>
    </w:p>
    <w:p w14:paraId="6E1F439C" w14:textId="77777777" w:rsidR="00955250" w:rsidRPr="008955AD" w:rsidRDefault="00955250" w:rsidP="00955250">
      <w:pPr>
        <w:numPr>
          <w:ilvl w:val="0"/>
          <w:numId w:val="32"/>
        </w:numPr>
        <w:shd w:val="clear" w:color="auto" w:fill="FFFFFF"/>
        <w:spacing w:after="0" w:line="360" w:lineRule="auto"/>
        <w:jc w:val="both"/>
        <w:rPr>
          <w:rFonts w:cs="Arial"/>
          <w:sz w:val="22"/>
          <w:szCs w:val="22"/>
        </w:rPr>
      </w:pPr>
      <w:r w:rsidRPr="008955AD">
        <w:rPr>
          <w:rFonts w:cs="Arial"/>
          <w:sz w:val="22"/>
          <w:szCs w:val="22"/>
        </w:rPr>
        <w:t>Samodzielny Publiczny Psychiatryczny Zakład Opiekuńczo – Leczniczy w Celejowie;</w:t>
      </w:r>
    </w:p>
    <w:p w14:paraId="4071A332" w14:textId="77777777" w:rsidR="00955250" w:rsidRPr="008955AD" w:rsidRDefault="00955250" w:rsidP="00955250">
      <w:pPr>
        <w:numPr>
          <w:ilvl w:val="0"/>
          <w:numId w:val="32"/>
        </w:numPr>
        <w:shd w:val="clear" w:color="auto" w:fill="FFFFFF"/>
        <w:spacing w:after="0" w:line="360" w:lineRule="auto"/>
        <w:jc w:val="both"/>
        <w:rPr>
          <w:rFonts w:cs="Arial"/>
          <w:sz w:val="22"/>
          <w:szCs w:val="22"/>
        </w:rPr>
      </w:pPr>
      <w:r w:rsidRPr="008955AD">
        <w:rPr>
          <w:rFonts w:cs="Arial"/>
          <w:sz w:val="22"/>
          <w:szCs w:val="22"/>
        </w:rPr>
        <w:t>Centrum Zdrowia Psychicznego Oddział Terapii Uzależnień SP ZOZ w Radzyniu Podlaskim.</w:t>
      </w:r>
    </w:p>
    <w:p w14:paraId="628E81D0" w14:textId="77777777" w:rsidR="00955250" w:rsidRDefault="00955250" w:rsidP="00955250">
      <w:pPr>
        <w:spacing w:after="0" w:line="360" w:lineRule="auto"/>
        <w:ind w:firstLine="426"/>
        <w:jc w:val="both"/>
        <w:rPr>
          <w:rFonts w:cs="Arial"/>
          <w:sz w:val="22"/>
          <w:szCs w:val="22"/>
        </w:rPr>
      </w:pPr>
      <w:r w:rsidRPr="008955AD">
        <w:rPr>
          <w:rFonts w:cs="Arial"/>
          <w:sz w:val="22"/>
          <w:szCs w:val="22"/>
        </w:rPr>
        <w:t>Na terenie każdego województwa, zarząd województwa organizuje podmioty lecznicze, które swoim zakresem obejmują działalność leczniczą (stacjonarną i całodobową) w zakresie leczenia odwykowego oraz wojewódzki ośrodek terapii uzależnienia i współuzależnienia</w:t>
      </w:r>
      <w:r w:rsidRPr="008955AD">
        <w:rPr>
          <w:rStyle w:val="Odwoanieprzypisudolnego"/>
          <w:rFonts w:cs="Arial"/>
          <w:sz w:val="22"/>
          <w:szCs w:val="22"/>
        </w:rPr>
        <w:footnoteReference w:id="30"/>
      </w:r>
      <w:r w:rsidRPr="008955AD">
        <w:rPr>
          <w:rFonts w:cs="Arial"/>
          <w:sz w:val="22"/>
          <w:szCs w:val="22"/>
        </w:rPr>
        <w:t>.</w:t>
      </w:r>
    </w:p>
    <w:p w14:paraId="101701CD" w14:textId="509680B8" w:rsidR="00955250" w:rsidRPr="008955AD" w:rsidRDefault="00955250" w:rsidP="00955250">
      <w:pPr>
        <w:spacing w:after="0" w:line="360" w:lineRule="auto"/>
        <w:ind w:firstLine="426"/>
        <w:jc w:val="both"/>
        <w:rPr>
          <w:rFonts w:cs="Arial"/>
          <w:sz w:val="22"/>
          <w:szCs w:val="22"/>
        </w:rPr>
      </w:pPr>
      <w:r w:rsidRPr="008955AD">
        <w:rPr>
          <w:rFonts w:cs="Arial"/>
          <w:sz w:val="22"/>
          <w:szCs w:val="22"/>
        </w:rPr>
        <w:t xml:space="preserve"> </w:t>
      </w:r>
      <w:r>
        <w:rPr>
          <w:rFonts w:cs="Arial"/>
          <w:sz w:val="22"/>
          <w:szCs w:val="22"/>
        </w:rPr>
        <w:t xml:space="preserve">W województwie lubelskim to </w:t>
      </w:r>
      <w:r w:rsidRPr="008955AD">
        <w:rPr>
          <w:rFonts w:cs="Arial"/>
          <w:sz w:val="22"/>
          <w:szCs w:val="22"/>
        </w:rPr>
        <w:t>Wojewódzki Ośrod</w:t>
      </w:r>
      <w:r>
        <w:rPr>
          <w:rFonts w:cs="Arial"/>
          <w:sz w:val="22"/>
          <w:szCs w:val="22"/>
        </w:rPr>
        <w:t>ek</w:t>
      </w:r>
      <w:r w:rsidRPr="008955AD">
        <w:rPr>
          <w:rFonts w:cs="Arial"/>
          <w:sz w:val="22"/>
          <w:szCs w:val="22"/>
        </w:rPr>
        <w:t xml:space="preserve"> Terapii i</w:t>
      </w:r>
      <w:r>
        <w:rPr>
          <w:rFonts w:cs="Arial"/>
          <w:sz w:val="22"/>
          <w:szCs w:val="22"/>
        </w:rPr>
        <w:t> </w:t>
      </w:r>
      <w:r w:rsidRPr="008955AD">
        <w:rPr>
          <w:rFonts w:cs="Arial"/>
          <w:sz w:val="22"/>
          <w:szCs w:val="22"/>
        </w:rPr>
        <w:t>Uzależnienia od Alkoholu w Lublinie przy Szpital</w:t>
      </w:r>
      <w:r>
        <w:rPr>
          <w:rFonts w:cs="Arial"/>
          <w:sz w:val="22"/>
          <w:szCs w:val="22"/>
        </w:rPr>
        <w:t>u</w:t>
      </w:r>
      <w:r w:rsidRPr="008955AD">
        <w:rPr>
          <w:rFonts w:cs="Arial"/>
          <w:sz w:val="22"/>
          <w:szCs w:val="22"/>
        </w:rPr>
        <w:t xml:space="preserve"> Neuropsychiatryczny</w:t>
      </w:r>
      <w:r>
        <w:rPr>
          <w:rFonts w:cs="Arial"/>
          <w:sz w:val="22"/>
          <w:szCs w:val="22"/>
        </w:rPr>
        <w:t>m</w:t>
      </w:r>
      <w:r w:rsidRPr="008955AD">
        <w:rPr>
          <w:rFonts w:cs="Arial"/>
          <w:sz w:val="22"/>
          <w:szCs w:val="22"/>
        </w:rPr>
        <w:t xml:space="preserve"> SP ZOZ w Lublinie. Ośrodek jest najważniejszą placówką udzielającą pomocy osobom uzależnionym</w:t>
      </w:r>
      <w:bookmarkEnd w:id="49"/>
      <w:r w:rsidRPr="008955AD">
        <w:rPr>
          <w:rFonts w:cs="Arial"/>
          <w:sz w:val="22"/>
          <w:szCs w:val="22"/>
        </w:rPr>
        <w:t xml:space="preserve">. Placówka ta, poza leczeniem pacjentów, ma dodatkowe zadania, m.in. ocenę jakości świadczeń w zakresie leczenia uzależnienia udzielanych na terenie województwa oraz monitorowanie funkcjonowania placówek leczenia uzależnienia od alkoholu w zakresie dostępności świadczeń. WOTUW-y mogą więc stanowić pomoc dla samorządów gminnych, jeśli chodzi o ocenę zasobów i potrzeb lecznictwa odwykowego </w:t>
      </w:r>
      <w:r w:rsidRPr="008955AD">
        <w:rPr>
          <w:rStyle w:val="Odwoanieprzypisudolnego"/>
          <w:rFonts w:cs="Arial"/>
          <w:color w:val="333333"/>
          <w:sz w:val="22"/>
          <w:szCs w:val="22"/>
        </w:rPr>
        <w:footnoteReference w:id="31"/>
      </w:r>
      <w:r w:rsidRPr="008955AD">
        <w:rPr>
          <w:rFonts w:cs="Arial"/>
          <w:color w:val="333333"/>
          <w:sz w:val="22"/>
          <w:szCs w:val="22"/>
        </w:rPr>
        <w:t>.</w:t>
      </w:r>
    </w:p>
    <w:p w14:paraId="351532D8" w14:textId="7F17D077" w:rsidR="001676E4" w:rsidRPr="00317DE2" w:rsidRDefault="001676E4" w:rsidP="00B11CBB">
      <w:pPr>
        <w:pStyle w:val="Nagwek2"/>
      </w:pPr>
      <w:bookmarkStart w:id="53" w:name="_Toc214277557"/>
      <w:r w:rsidRPr="00317DE2">
        <w:t>Zjawisko problemu alkoholowego w Polsce oraz w województwie lubelskim wg danych Policji</w:t>
      </w:r>
      <w:bookmarkEnd w:id="47"/>
      <w:bookmarkEnd w:id="53"/>
    </w:p>
    <w:p w14:paraId="094C6755" w14:textId="60AF755E" w:rsidR="001676E4" w:rsidRPr="008D235F" w:rsidRDefault="001676E4" w:rsidP="001676E4">
      <w:pPr>
        <w:tabs>
          <w:tab w:val="left" w:pos="426"/>
        </w:tabs>
        <w:spacing w:after="0" w:line="360" w:lineRule="auto"/>
        <w:jc w:val="both"/>
        <w:rPr>
          <w:rFonts w:cs="Arial"/>
          <w:sz w:val="22"/>
          <w:szCs w:val="22"/>
        </w:rPr>
      </w:pPr>
      <w:r w:rsidRPr="00317DE2">
        <w:rPr>
          <w:rFonts w:cs="Arial"/>
          <w:sz w:val="22"/>
          <w:szCs w:val="22"/>
        </w:rPr>
        <w:tab/>
        <w:t xml:space="preserve">W Polsce dopuszczalny poziom stężenia alkoholu we krwi kierowcy wynosi, nieprzekraczalnie, 0,2‰ (0,2 promila we krwi). W przypadku gdy zawartość alkoholu we krwi wynosi lub prowadzi do </w:t>
      </w:r>
      <w:r w:rsidRPr="008D235F">
        <w:rPr>
          <w:rFonts w:cs="Arial"/>
          <w:sz w:val="22"/>
          <w:szCs w:val="22"/>
        </w:rPr>
        <w:t xml:space="preserve">stężenia od 0,2‰ do 0,5‰ (lub obecności w wydychanym powietrzu od 0,1 mg do 0,25 mg alkoholu w 1 dm3), określa się to jako stan po użyciu alkoholu. Jeżeli stężenie </w:t>
      </w:r>
      <w:r w:rsidRPr="008D235F">
        <w:rPr>
          <w:rFonts w:cs="Arial"/>
          <w:sz w:val="22"/>
          <w:szCs w:val="22"/>
        </w:rPr>
        <w:lastRenderedPageBreak/>
        <w:t>alkoholu we krwi przekracza 0,5‰ (a w wydychanym powietrzu jest go więcej niż 0,25 mg w</w:t>
      </w:r>
      <w:r w:rsidR="00536E9E">
        <w:rPr>
          <w:rFonts w:cs="Arial"/>
          <w:sz w:val="22"/>
          <w:szCs w:val="22"/>
        </w:rPr>
        <w:t xml:space="preserve"> </w:t>
      </w:r>
      <w:r w:rsidRPr="008D235F">
        <w:rPr>
          <w:rFonts w:cs="Arial"/>
          <w:sz w:val="22"/>
          <w:szCs w:val="22"/>
        </w:rPr>
        <w:t>1</w:t>
      </w:r>
      <w:r w:rsidR="00536E9E">
        <w:rPr>
          <w:rFonts w:cs="Arial"/>
          <w:sz w:val="22"/>
          <w:szCs w:val="22"/>
        </w:rPr>
        <w:t xml:space="preserve"> </w:t>
      </w:r>
      <w:r w:rsidRPr="008D235F">
        <w:rPr>
          <w:rFonts w:cs="Arial"/>
          <w:sz w:val="22"/>
          <w:szCs w:val="22"/>
        </w:rPr>
        <w:t>dm3), wówczas jest to stan nietrzeźwości</w:t>
      </w:r>
      <w:r w:rsidRPr="008D235F">
        <w:rPr>
          <w:rFonts w:cs="Arial"/>
          <w:sz w:val="22"/>
          <w:szCs w:val="22"/>
          <w:vertAlign w:val="superscript"/>
        </w:rPr>
        <w:footnoteReference w:id="32"/>
      </w:r>
      <w:r w:rsidRPr="008D235F">
        <w:rPr>
          <w:rFonts w:cs="Arial"/>
          <w:sz w:val="22"/>
          <w:szCs w:val="22"/>
        </w:rPr>
        <w:t>.</w:t>
      </w:r>
    </w:p>
    <w:p w14:paraId="5324D9B5"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ab/>
        <w:t>Jak wynika z badań, prawdopodobieństwo spowodowania wypadku drogowego zwiększa się kilkunastokrotnie wraz ze wzrostem stężenia alkoholu we krwi kierującego:</w:t>
      </w:r>
    </w:p>
    <w:p w14:paraId="47C0C693" w14:textId="77777777" w:rsidR="001676E4" w:rsidRPr="00317DE2" w:rsidRDefault="001676E4" w:rsidP="001676E4">
      <w:pPr>
        <w:numPr>
          <w:ilvl w:val="0"/>
          <w:numId w:val="18"/>
        </w:numPr>
        <w:spacing w:after="0" w:line="360" w:lineRule="auto"/>
        <w:jc w:val="both"/>
        <w:rPr>
          <w:rFonts w:cs="Arial"/>
          <w:sz w:val="22"/>
          <w:szCs w:val="22"/>
        </w:rPr>
      </w:pPr>
      <w:r w:rsidRPr="00317DE2">
        <w:rPr>
          <w:rFonts w:cs="Arial"/>
          <w:sz w:val="22"/>
          <w:szCs w:val="22"/>
        </w:rPr>
        <w:t>od 0,5‰ – 2 razy</w:t>
      </w:r>
    </w:p>
    <w:p w14:paraId="498EDCBA" w14:textId="77777777" w:rsidR="001676E4" w:rsidRPr="00317DE2" w:rsidRDefault="001676E4" w:rsidP="001676E4">
      <w:pPr>
        <w:numPr>
          <w:ilvl w:val="0"/>
          <w:numId w:val="18"/>
        </w:numPr>
        <w:spacing w:after="0" w:line="360" w:lineRule="auto"/>
        <w:jc w:val="both"/>
        <w:rPr>
          <w:rFonts w:cs="Arial"/>
          <w:sz w:val="22"/>
          <w:szCs w:val="22"/>
        </w:rPr>
      </w:pPr>
      <w:r w:rsidRPr="00317DE2">
        <w:rPr>
          <w:rFonts w:cs="Arial"/>
          <w:sz w:val="22"/>
          <w:szCs w:val="22"/>
        </w:rPr>
        <w:t>od 0,8‰ – 4 razy</w:t>
      </w:r>
    </w:p>
    <w:p w14:paraId="08B6B7EC" w14:textId="77777777" w:rsidR="001676E4" w:rsidRPr="00317DE2" w:rsidRDefault="001676E4" w:rsidP="001676E4">
      <w:pPr>
        <w:numPr>
          <w:ilvl w:val="0"/>
          <w:numId w:val="18"/>
        </w:numPr>
        <w:spacing w:after="0" w:line="360" w:lineRule="auto"/>
        <w:jc w:val="both"/>
        <w:rPr>
          <w:rFonts w:cs="Arial"/>
          <w:sz w:val="22"/>
          <w:szCs w:val="22"/>
        </w:rPr>
      </w:pPr>
      <w:r w:rsidRPr="00317DE2">
        <w:rPr>
          <w:rFonts w:cs="Arial"/>
          <w:sz w:val="22"/>
          <w:szCs w:val="22"/>
        </w:rPr>
        <w:t>od 1,0‰ – 7 razy</w:t>
      </w:r>
    </w:p>
    <w:p w14:paraId="64BA7EDF" w14:textId="77777777" w:rsidR="001676E4" w:rsidRPr="00317DE2" w:rsidRDefault="001676E4" w:rsidP="001676E4">
      <w:pPr>
        <w:numPr>
          <w:ilvl w:val="0"/>
          <w:numId w:val="18"/>
        </w:numPr>
        <w:spacing w:after="0" w:line="360" w:lineRule="auto"/>
        <w:jc w:val="both"/>
        <w:rPr>
          <w:rFonts w:cs="Arial"/>
          <w:sz w:val="22"/>
          <w:szCs w:val="22"/>
        </w:rPr>
      </w:pPr>
      <w:r w:rsidRPr="00317DE2">
        <w:rPr>
          <w:rFonts w:cs="Arial"/>
          <w:sz w:val="22"/>
          <w:szCs w:val="22"/>
        </w:rPr>
        <w:t>od 1,5‰ – aż 36 razy</w:t>
      </w:r>
      <w:r w:rsidRPr="00317DE2">
        <w:rPr>
          <w:rFonts w:cs="Arial"/>
          <w:sz w:val="22"/>
          <w:szCs w:val="22"/>
          <w:vertAlign w:val="superscript"/>
        </w:rPr>
        <w:footnoteReference w:id="33"/>
      </w:r>
      <w:r w:rsidRPr="00317DE2">
        <w:rPr>
          <w:rFonts w:cs="Arial"/>
          <w:sz w:val="22"/>
          <w:szCs w:val="22"/>
        </w:rPr>
        <w:t>.</w:t>
      </w:r>
    </w:p>
    <w:p w14:paraId="61A21C4F"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ab/>
        <w:t xml:space="preserve">Wypadki drogowe i ich skutki z udziałem uczestników ruchu drogowego będących pod wpływem alkoholu prezentuje poniższa tabela. </w:t>
      </w:r>
    </w:p>
    <w:p w14:paraId="2324E0BC" w14:textId="7750B437" w:rsidR="001676E4" w:rsidRPr="0054713D" w:rsidRDefault="001676E4" w:rsidP="001676E4">
      <w:pPr>
        <w:pStyle w:val="Legenda"/>
        <w:keepNext/>
        <w:rPr>
          <w:sz w:val="20"/>
        </w:rPr>
      </w:pPr>
      <w:bookmarkStart w:id="55" w:name="_Toc214279695"/>
      <w:r w:rsidRPr="0054713D">
        <w:rPr>
          <w:sz w:val="20"/>
        </w:rPr>
        <w:t xml:space="preserve">Tabela </w:t>
      </w:r>
      <w:r w:rsidRPr="0054713D">
        <w:rPr>
          <w:sz w:val="20"/>
        </w:rPr>
        <w:fldChar w:fldCharType="begin"/>
      </w:r>
      <w:r w:rsidRPr="0054713D">
        <w:rPr>
          <w:sz w:val="20"/>
        </w:rPr>
        <w:instrText xml:space="preserve"> SEQ Tabela \* ARABIC </w:instrText>
      </w:r>
      <w:r w:rsidRPr="0054713D">
        <w:rPr>
          <w:sz w:val="20"/>
        </w:rPr>
        <w:fldChar w:fldCharType="separate"/>
      </w:r>
      <w:r w:rsidR="00CA082D" w:rsidRPr="0054713D">
        <w:rPr>
          <w:noProof/>
          <w:sz w:val="20"/>
        </w:rPr>
        <w:t>10</w:t>
      </w:r>
      <w:r w:rsidRPr="0054713D">
        <w:rPr>
          <w:sz w:val="20"/>
        </w:rPr>
        <w:fldChar w:fldCharType="end"/>
      </w:r>
      <w:r w:rsidRPr="0054713D">
        <w:rPr>
          <w:sz w:val="20"/>
        </w:rPr>
        <w:t>. Wypadki drogowe i ich skutki na drogach województwa lubelskiego w latach 2018-2024</w:t>
      </w:r>
      <w:bookmarkEnd w:id="55"/>
    </w:p>
    <w:tbl>
      <w:tblPr>
        <w:tblW w:w="492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00"/>
        <w:gridCol w:w="2335"/>
        <w:gridCol w:w="2337"/>
        <w:gridCol w:w="2194"/>
      </w:tblGrid>
      <w:tr w:rsidR="001676E4" w:rsidRPr="00317DE2" w14:paraId="3E9C26FD" w14:textId="77777777" w:rsidTr="003D66E5">
        <w:trPr>
          <w:trHeight w:val="397"/>
          <w:tblHeader/>
        </w:trPr>
        <w:tc>
          <w:tcPr>
            <w:tcW w:w="1213" w:type="pct"/>
            <w:vAlign w:val="center"/>
          </w:tcPr>
          <w:p w14:paraId="58CE6490"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Rok</w:t>
            </w:r>
          </w:p>
        </w:tc>
        <w:tc>
          <w:tcPr>
            <w:tcW w:w="1287" w:type="pct"/>
            <w:vAlign w:val="center"/>
          </w:tcPr>
          <w:p w14:paraId="00F4C11B"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Wypadki</w:t>
            </w:r>
          </w:p>
        </w:tc>
        <w:tc>
          <w:tcPr>
            <w:tcW w:w="1289" w:type="pct"/>
            <w:vAlign w:val="center"/>
          </w:tcPr>
          <w:p w14:paraId="48A0E5A6"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Zabici</w:t>
            </w:r>
          </w:p>
        </w:tc>
        <w:tc>
          <w:tcPr>
            <w:tcW w:w="1210" w:type="pct"/>
            <w:vAlign w:val="center"/>
          </w:tcPr>
          <w:p w14:paraId="5F96FE06"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Ranni</w:t>
            </w:r>
          </w:p>
        </w:tc>
      </w:tr>
      <w:tr w:rsidR="001676E4" w:rsidRPr="00317DE2" w14:paraId="34623278" w14:textId="77777777" w:rsidTr="003D66E5">
        <w:trPr>
          <w:trHeight w:val="340"/>
        </w:trPr>
        <w:tc>
          <w:tcPr>
            <w:tcW w:w="1213" w:type="pct"/>
            <w:vAlign w:val="center"/>
          </w:tcPr>
          <w:p w14:paraId="07908697"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2018</w:t>
            </w:r>
          </w:p>
        </w:tc>
        <w:tc>
          <w:tcPr>
            <w:tcW w:w="1287" w:type="pct"/>
            <w:vAlign w:val="center"/>
          </w:tcPr>
          <w:p w14:paraId="4E87F7B1"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1214</w:t>
            </w:r>
          </w:p>
        </w:tc>
        <w:tc>
          <w:tcPr>
            <w:tcW w:w="1289" w:type="pct"/>
            <w:vAlign w:val="center"/>
          </w:tcPr>
          <w:p w14:paraId="51361AEA"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179</w:t>
            </w:r>
          </w:p>
        </w:tc>
        <w:tc>
          <w:tcPr>
            <w:tcW w:w="1210" w:type="pct"/>
            <w:vAlign w:val="center"/>
          </w:tcPr>
          <w:p w14:paraId="23B36624"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1284</w:t>
            </w:r>
          </w:p>
        </w:tc>
      </w:tr>
      <w:tr w:rsidR="001676E4" w:rsidRPr="00317DE2" w14:paraId="2A945C76" w14:textId="77777777" w:rsidTr="003D66E5">
        <w:trPr>
          <w:trHeight w:val="340"/>
        </w:trPr>
        <w:tc>
          <w:tcPr>
            <w:tcW w:w="1213" w:type="pct"/>
            <w:vAlign w:val="center"/>
          </w:tcPr>
          <w:p w14:paraId="3636F2B2"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2019</w:t>
            </w:r>
          </w:p>
        </w:tc>
        <w:tc>
          <w:tcPr>
            <w:tcW w:w="1287" w:type="pct"/>
            <w:shd w:val="clear" w:color="000000" w:fill="FFFFFF"/>
            <w:vAlign w:val="center"/>
          </w:tcPr>
          <w:p w14:paraId="75096CFB"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1128</w:t>
            </w:r>
          </w:p>
        </w:tc>
        <w:tc>
          <w:tcPr>
            <w:tcW w:w="1289" w:type="pct"/>
            <w:shd w:val="clear" w:color="000000" w:fill="FFFFFF"/>
            <w:vAlign w:val="center"/>
          </w:tcPr>
          <w:p w14:paraId="05A6BC9E"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170</w:t>
            </w:r>
          </w:p>
        </w:tc>
        <w:tc>
          <w:tcPr>
            <w:tcW w:w="1210" w:type="pct"/>
            <w:shd w:val="clear" w:color="000000" w:fill="FFFFFF"/>
            <w:vAlign w:val="center"/>
          </w:tcPr>
          <w:p w14:paraId="689EAE5F"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1216</w:t>
            </w:r>
          </w:p>
        </w:tc>
      </w:tr>
      <w:tr w:rsidR="001676E4" w:rsidRPr="00317DE2" w14:paraId="3DC6ED5C" w14:textId="77777777" w:rsidTr="003D66E5">
        <w:trPr>
          <w:trHeight w:val="340"/>
        </w:trPr>
        <w:tc>
          <w:tcPr>
            <w:tcW w:w="1213" w:type="pct"/>
            <w:vAlign w:val="center"/>
          </w:tcPr>
          <w:p w14:paraId="18ABEE91"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2020</w:t>
            </w:r>
          </w:p>
        </w:tc>
        <w:tc>
          <w:tcPr>
            <w:tcW w:w="1287" w:type="pct"/>
            <w:shd w:val="clear" w:color="000000" w:fill="FFFFFF"/>
            <w:vAlign w:val="center"/>
          </w:tcPr>
          <w:p w14:paraId="16EBE009"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922</w:t>
            </w:r>
          </w:p>
        </w:tc>
        <w:tc>
          <w:tcPr>
            <w:tcW w:w="1289" w:type="pct"/>
            <w:shd w:val="clear" w:color="000000" w:fill="FFFFFF"/>
            <w:vAlign w:val="center"/>
          </w:tcPr>
          <w:p w14:paraId="71FE64F3"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156</w:t>
            </w:r>
          </w:p>
        </w:tc>
        <w:tc>
          <w:tcPr>
            <w:tcW w:w="1210" w:type="pct"/>
            <w:shd w:val="clear" w:color="000000" w:fill="FFFFFF"/>
            <w:vAlign w:val="center"/>
          </w:tcPr>
          <w:p w14:paraId="4773BA82"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933</w:t>
            </w:r>
          </w:p>
        </w:tc>
      </w:tr>
      <w:tr w:rsidR="001676E4" w:rsidRPr="00317DE2" w14:paraId="404C4FE2" w14:textId="77777777" w:rsidTr="003D66E5">
        <w:trPr>
          <w:trHeight w:val="340"/>
        </w:trPr>
        <w:tc>
          <w:tcPr>
            <w:tcW w:w="1213" w:type="pct"/>
            <w:vAlign w:val="center"/>
          </w:tcPr>
          <w:p w14:paraId="138CBDFD"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2021</w:t>
            </w:r>
          </w:p>
        </w:tc>
        <w:tc>
          <w:tcPr>
            <w:tcW w:w="1287" w:type="pct"/>
            <w:shd w:val="clear" w:color="000000" w:fill="FFFFFF"/>
            <w:vAlign w:val="center"/>
          </w:tcPr>
          <w:p w14:paraId="1961450A"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878</w:t>
            </w:r>
          </w:p>
        </w:tc>
        <w:tc>
          <w:tcPr>
            <w:tcW w:w="1289" w:type="pct"/>
            <w:shd w:val="clear" w:color="000000" w:fill="FFFFFF"/>
            <w:vAlign w:val="center"/>
          </w:tcPr>
          <w:p w14:paraId="43A257F7"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135</w:t>
            </w:r>
          </w:p>
        </w:tc>
        <w:tc>
          <w:tcPr>
            <w:tcW w:w="1210" w:type="pct"/>
            <w:shd w:val="clear" w:color="000000" w:fill="FFFFFF"/>
            <w:vAlign w:val="center"/>
          </w:tcPr>
          <w:p w14:paraId="46157593"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949</w:t>
            </w:r>
          </w:p>
        </w:tc>
      </w:tr>
      <w:tr w:rsidR="001676E4" w:rsidRPr="00317DE2" w14:paraId="367E687A" w14:textId="77777777" w:rsidTr="003D66E5">
        <w:trPr>
          <w:trHeight w:val="340"/>
        </w:trPr>
        <w:tc>
          <w:tcPr>
            <w:tcW w:w="1213" w:type="pct"/>
            <w:vAlign w:val="center"/>
          </w:tcPr>
          <w:p w14:paraId="4AA175E1"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2022</w:t>
            </w:r>
          </w:p>
        </w:tc>
        <w:tc>
          <w:tcPr>
            <w:tcW w:w="1287" w:type="pct"/>
            <w:shd w:val="clear" w:color="000000" w:fill="FFFFFF"/>
            <w:vAlign w:val="center"/>
          </w:tcPr>
          <w:p w14:paraId="2F341E58"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769</w:t>
            </w:r>
          </w:p>
        </w:tc>
        <w:tc>
          <w:tcPr>
            <w:tcW w:w="1289" w:type="pct"/>
            <w:shd w:val="clear" w:color="000000" w:fill="FFFFFF"/>
            <w:vAlign w:val="center"/>
          </w:tcPr>
          <w:p w14:paraId="7D7CD521"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121</w:t>
            </w:r>
          </w:p>
        </w:tc>
        <w:tc>
          <w:tcPr>
            <w:tcW w:w="1210" w:type="pct"/>
            <w:shd w:val="clear" w:color="000000" w:fill="FFFFFF"/>
            <w:vAlign w:val="center"/>
          </w:tcPr>
          <w:p w14:paraId="390957E9"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797</w:t>
            </w:r>
          </w:p>
        </w:tc>
      </w:tr>
      <w:tr w:rsidR="001676E4" w:rsidRPr="00317DE2" w14:paraId="70B0C792" w14:textId="77777777" w:rsidTr="003D66E5">
        <w:trPr>
          <w:trHeight w:val="340"/>
        </w:trPr>
        <w:tc>
          <w:tcPr>
            <w:tcW w:w="1213" w:type="pct"/>
            <w:vAlign w:val="center"/>
          </w:tcPr>
          <w:p w14:paraId="2A7ADA34"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2023</w:t>
            </w:r>
          </w:p>
        </w:tc>
        <w:tc>
          <w:tcPr>
            <w:tcW w:w="1287" w:type="pct"/>
            <w:shd w:val="clear" w:color="000000" w:fill="FFFFFF"/>
            <w:vAlign w:val="center"/>
          </w:tcPr>
          <w:p w14:paraId="4611B41D"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790</w:t>
            </w:r>
          </w:p>
        </w:tc>
        <w:tc>
          <w:tcPr>
            <w:tcW w:w="1289" w:type="pct"/>
            <w:shd w:val="clear" w:color="000000" w:fill="FFFFFF"/>
            <w:vAlign w:val="center"/>
          </w:tcPr>
          <w:p w14:paraId="3037915B"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122</w:t>
            </w:r>
          </w:p>
        </w:tc>
        <w:tc>
          <w:tcPr>
            <w:tcW w:w="1210" w:type="pct"/>
            <w:shd w:val="clear" w:color="000000" w:fill="FFFFFF"/>
            <w:vAlign w:val="center"/>
          </w:tcPr>
          <w:p w14:paraId="5ED01B36"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831</w:t>
            </w:r>
          </w:p>
        </w:tc>
      </w:tr>
      <w:tr w:rsidR="001676E4" w:rsidRPr="00317DE2" w14:paraId="641931B5" w14:textId="77777777" w:rsidTr="003D66E5">
        <w:trPr>
          <w:trHeight w:val="340"/>
        </w:trPr>
        <w:tc>
          <w:tcPr>
            <w:tcW w:w="1213" w:type="pct"/>
            <w:vAlign w:val="center"/>
          </w:tcPr>
          <w:p w14:paraId="48E52DE4" w14:textId="77777777" w:rsidR="001676E4" w:rsidRPr="00317DE2" w:rsidRDefault="001676E4" w:rsidP="003D66E5">
            <w:pPr>
              <w:spacing w:after="0" w:line="240" w:lineRule="auto"/>
              <w:jc w:val="center"/>
              <w:rPr>
                <w:rFonts w:cs="Arial"/>
                <w:b/>
                <w:bCs/>
                <w:color w:val="000000"/>
                <w:sz w:val="22"/>
                <w:szCs w:val="22"/>
              </w:rPr>
            </w:pPr>
            <w:r w:rsidRPr="00317DE2">
              <w:rPr>
                <w:rFonts w:cs="Arial"/>
                <w:b/>
                <w:bCs/>
                <w:color w:val="000000"/>
                <w:sz w:val="22"/>
                <w:szCs w:val="22"/>
              </w:rPr>
              <w:t>2024</w:t>
            </w:r>
          </w:p>
        </w:tc>
        <w:tc>
          <w:tcPr>
            <w:tcW w:w="1287" w:type="pct"/>
            <w:shd w:val="clear" w:color="000000" w:fill="FFFFFF"/>
            <w:vAlign w:val="center"/>
          </w:tcPr>
          <w:p w14:paraId="1B1E556D"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841</w:t>
            </w:r>
          </w:p>
        </w:tc>
        <w:tc>
          <w:tcPr>
            <w:tcW w:w="1289" w:type="pct"/>
            <w:shd w:val="clear" w:color="000000" w:fill="FFFFFF"/>
            <w:vAlign w:val="center"/>
          </w:tcPr>
          <w:p w14:paraId="75C00904"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117</w:t>
            </w:r>
          </w:p>
        </w:tc>
        <w:tc>
          <w:tcPr>
            <w:tcW w:w="1210" w:type="pct"/>
            <w:shd w:val="clear" w:color="000000" w:fill="FFFFFF"/>
            <w:vAlign w:val="center"/>
          </w:tcPr>
          <w:p w14:paraId="6326D729" w14:textId="77777777" w:rsidR="001676E4" w:rsidRPr="00317DE2" w:rsidRDefault="001676E4" w:rsidP="003D66E5">
            <w:pPr>
              <w:spacing w:after="0" w:line="240" w:lineRule="auto"/>
              <w:jc w:val="center"/>
              <w:rPr>
                <w:rFonts w:cs="Arial"/>
                <w:color w:val="000000"/>
                <w:sz w:val="22"/>
                <w:szCs w:val="22"/>
              </w:rPr>
            </w:pPr>
            <w:r w:rsidRPr="00317DE2">
              <w:rPr>
                <w:rFonts w:cs="Arial"/>
                <w:color w:val="000000"/>
                <w:sz w:val="22"/>
                <w:szCs w:val="22"/>
              </w:rPr>
              <w:t>861</w:t>
            </w:r>
          </w:p>
        </w:tc>
      </w:tr>
    </w:tbl>
    <w:p w14:paraId="195A95A5" w14:textId="14F7A653" w:rsidR="00EF0A89" w:rsidRPr="00EF0A89" w:rsidRDefault="00EF0A89" w:rsidP="00EF0A89">
      <w:pPr>
        <w:spacing w:after="0" w:line="240" w:lineRule="auto"/>
        <w:ind w:firstLine="709"/>
        <w:jc w:val="both"/>
        <w:rPr>
          <w:rFonts w:cs="Arial"/>
          <w:sz w:val="18"/>
          <w:szCs w:val="18"/>
        </w:rPr>
      </w:pPr>
      <w:bookmarkStart w:id="56" w:name="_Toc25562606"/>
      <w:r w:rsidRPr="00EF0A89">
        <w:rPr>
          <w:rFonts w:cs="Arial"/>
          <w:sz w:val="18"/>
          <w:szCs w:val="18"/>
        </w:rPr>
        <w:t>Źródło: Dane własne KGP w Lublinie</w:t>
      </w:r>
    </w:p>
    <w:p w14:paraId="3594E996" w14:textId="08DBE5E1" w:rsidR="001676E4" w:rsidRPr="00317DE2" w:rsidRDefault="001676E4" w:rsidP="001676E4">
      <w:pPr>
        <w:spacing w:before="360" w:after="0" w:line="360" w:lineRule="auto"/>
        <w:ind w:firstLine="709"/>
        <w:jc w:val="both"/>
        <w:rPr>
          <w:rFonts w:cs="Arial"/>
          <w:sz w:val="22"/>
          <w:szCs w:val="22"/>
        </w:rPr>
      </w:pPr>
      <w:r w:rsidRPr="00317DE2">
        <w:rPr>
          <w:rFonts w:cs="Arial"/>
          <w:sz w:val="22"/>
          <w:szCs w:val="22"/>
        </w:rPr>
        <w:t>Dane dotyczące województwa lubelskiego z lat 2018–2024 pokazują wyraźny trend spadkowy zarówno w liczbie wypadków, jak i ofiar śmiertelnych oraz rannych, co może świadczyć o poprawie bezpieczeństwa ruchu drogowego w regionie. W 2018 r</w:t>
      </w:r>
      <w:r w:rsidR="004B5593">
        <w:rPr>
          <w:rFonts w:cs="Arial"/>
          <w:sz w:val="22"/>
          <w:szCs w:val="22"/>
        </w:rPr>
        <w:t>oku</w:t>
      </w:r>
      <w:r w:rsidRPr="00317DE2">
        <w:rPr>
          <w:rFonts w:cs="Arial"/>
          <w:sz w:val="22"/>
          <w:szCs w:val="22"/>
        </w:rPr>
        <w:t xml:space="preserve"> odnotowano 1</w:t>
      </w:r>
      <w:r w:rsidR="004B5593">
        <w:rPr>
          <w:rFonts w:cs="Arial"/>
          <w:sz w:val="22"/>
          <w:szCs w:val="22"/>
        </w:rPr>
        <w:t xml:space="preserve"> </w:t>
      </w:r>
      <w:r w:rsidRPr="00317DE2">
        <w:rPr>
          <w:rFonts w:cs="Arial"/>
          <w:sz w:val="22"/>
          <w:szCs w:val="22"/>
        </w:rPr>
        <w:t>214 wypadków, natomiast w 2024 r</w:t>
      </w:r>
      <w:r w:rsidR="004B5593">
        <w:rPr>
          <w:rFonts w:cs="Arial"/>
          <w:sz w:val="22"/>
          <w:szCs w:val="22"/>
        </w:rPr>
        <w:t>oku</w:t>
      </w:r>
      <w:r w:rsidRPr="00317DE2">
        <w:rPr>
          <w:rFonts w:cs="Arial"/>
          <w:sz w:val="22"/>
          <w:szCs w:val="22"/>
        </w:rPr>
        <w:t xml:space="preserve"> – 841, co oznacza spadek o 373 zdarzenia (ok. 30,7%). Największy spadek nastąpił między rokiem 2019 (1</w:t>
      </w:r>
      <w:r w:rsidR="004B5593">
        <w:rPr>
          <w:rFonts w:cs="Arial"/>
          <w:sz w:val="22"/>
          <w:szCs w:val="22"/>
        </w:rPr>
        <w:t xml:space="preserve"> </w:t>
      </w:r>
      <w:r w:rsidRPr="00317DE2">
        <w:rPr>
          <w:rFonts w:cs="Arial"/>
          <w:sz w:val="22"/>
          <w:szCs w:val="22"/>
        </w:rPr>
        <w:t>128) a 2020 (922), co mogło mieć związek z ograniczeniami w ruchu drogowym w czasie pandemii COVID-19. W latach 2022–2024 liczba wypadków utrzymuje się na podobnym, niższym poziomie (ok. 770</w:t>
      </w:r>
      <w:r w:rsidR="004B5593">
        <w:rPr>
          <w:rFonts w:cs="Arial"/>
          <w:sz w:val="22"/>
          <w:szCs w:val="22"/>
        </w:rPr>
        <w:t xml:space="preserve"> </w:t>
      </w:r>
      <w:r w:rsidRPr="00317DE2">
        <w:rPr>
          <w:rFonts w:cs="Arial"/>
          <w:sz w:val="22"/>
          <w:szCs w:val="22"/>
        </w:rPr>
        <w:t>–</w:t>
      </w:r>
      <w:r w:rsidR="004B5593">
        <w:rPr>
          <w:rFonts w:cs="Arial"/>
          <w:sz w:val="22"/>
          <w:szCs w:val="22"/>
        </w:rPr>
        <w:t xml:space="preserve"> </w:t>
      </w:r>
      <w:r w:rsidRPr="00317DE2">
        <w:rPr>
          <w:rFonts w:cs="Arial"/>
          <w:sz w:val="22"/>
          <w:szCs w:val="22"/>
        </w:rPr>
        <w:t>840 zdarzeń rocznie), co sugeruje stabilizację sytuacji. W 2018 r</w:t>
      </w:r>
      <w:r w:rsidR="004B5593">
        <w:rPr>
          <w:rFonts w:cs="Arial"/>
          <w:sz w:val="22"/>
          <w:szCs w:val="22"/>
        </w:rPr>
        <w:t>oku</w:t>
      </w:r>
      <w:r w:rsidRPr="00317DE2">
        <w:rPr>
          <w:rFonts w:cs="Arial"/>
          <w:sz w:val="22"/>
          <w:szCs w:val="22"/>
        </w:rPr>
        <w:t xml:space="preserve"> zginęło 179 osób, a w 2024 r</w:t>
      </w:r>
      <w:r w:rsidR="004B5593">
        <w:rPr>
          <w:rFonts w:cs="Arial"/>
          <w:sz w:val="22"/>
          <w:szCs w:val="22"/>
        </w:rPr>
        <w:t>oku</w:t>
      </w:r>
      <w:r w:rsidRPr="00317DE2">
        <w:rPr>
          <w:rFonts w:cs="Arial"/>
          <w:sz w:val="22"/>
          <w:szCs w:val="22"/>
        </w:rPr>
        <w:t xml:space="preserve"> 117, co stanowi redukcję o 62 ofiary śmiertelne (ok. 34,6%). Największy spadek nastąpił w latach 2018–2022, gdy liczba zabitych obniżyła się z 179 do 121. W ostatnich latach (2022–2024) liczba ofiar śmiertelnych utrzymuje się na podobnym poziomie (121–117), co może wskazywać na osiągnięcie pewnej granicy możliwości poprawy bezpiecznego ruchu bez dodatkowych działań systemowych. Liczba rannych zmniejszyła się z 1</w:t>
      </w:r>
      <w:r w:rsidR="004B5593">
        <w:rPr>
          <w:rFonts w:cs="Arial"/>
          <w:sz w:val="22"/>
          <w:szCs w:val="22"/>
        </w:rPr>
        <w:t xml:space="preserve"> </w:t>
      </w:r>
      <w:r w:rsidRPr="00317DE2">
        <w:rPr>
          <w:rFonts w:cs="Arial"/>
          <w:sz w:val="22"/>
          <w:szCs w:val="22"/>
        </w:rPr>
        <w:t>284 w 2018 r</w:t>
      </w:r>
      <w:r w:rsidR="004B5593">
        <w:rPr>
          <w:rFonts w:cs="Arial"/>
          <w:sz w:val="22"/>
          <w:szCs w:val="22"/>
        </w:rPr>
        <w:t>oku</w:t>
      </w:r>
      <w:r w:rsidRPr="00317DE2">
        <w:rPr>
          <w:rFonts w:cs="Arial"/>
          <w:sz w:val="22"/>
          <w:szCs w:val="22"/>
        </w:rPr>
        <w:t xml:space="preserve"> do 861 w 2024 r</w:t>
      </w:r>
      <w:r w:rsidR="004B5593">
        <w:rPr>
          <w:rFonts w:cs="Arial"/>
          <w:sz w:val="22"/>
          <w:szCs w:val="22"/>
        </w:rPr>
        <w:t>oku</w:t>
      </w:r>
      <w:r w:rsidRPr="00317DE2">
        <w:rPr>
          <w:rFonts w:cs="Arial"/>
          <w:sz w:val="22"/>
          <w:szCs w:val="22"/>
        </w:rPr>
        <w:t xml:space="preserve">, </w:t>
      </w:r>
      <w:r w:rsidRPr="00317DE2">
        <w:rPr>
          <w:rFonts w:cs="Arial"/>
          <w:sz w:val="22"/>
          <w:szCs w:val="22"/>
        </w:rPr>
        <w:lastRenderedPageBreak/>
        <w:t>czyli o 423 osoby (ok. 33%). Spadek ten jest równoległy do zmniejszania się liczby wypadków, co potwierdza ogólny trend poprawy bezpieczeństwa. Po roku 2020 liczba rannych utrzymuje się na poziomie poniżej tysiąca osób rocznie, co wcześniej (2018</w:t>
      </w:r>
      <w:r w:rsidR="00067565">
        <w:rPr>
          <w:rFonts w:cs="Arial"/>
          <w:sz w:val="22"/>
          <w:szCs w:val="22"/>
        </w:rPr>
        <w:t xml:space="preserve"> </w:t>
      </w:r>
      <w:r w:rsidRPr="00317DE2">
        <w:rPr>
          <w:rFonts w:cs="Arial"/>
          <w:sz w:val="22"/>
          <w:szCs w:val="22"/>
        </w:rPr>
        <w:t>–</w:t>
      </w:r>
      <w:r w:rsidR="00067565">
        <w:rPr>
          <w:rFonts w:cs="Arial"/>
          <w:sz w:val="22"/>
          <w:szCs w:val="22"/>
        </w:rPr>
        <w:t xml:space="preserve"> </w:t>
      </w:r>
      <w:r w:rsidRPr="00317DE2">
        <w:rPr>
          <w:rFonts w:cs="Arial"/>
          <w:sz w:val="22"/>
          <w:szCs w:val="22"/>
        </w:rPr>
        <w:t>2019) nie miało miejsca. Korelacja między liczbą wypadków</w:t>
      </w:r>
      <w:r w:rsidR="00067565">
        <w:rPr>
          <w:rFonts w:cs="Arial"/>
          <w:sz w:val="22"/>
          <w:szCs w:val="22"/>
        </w:rPr>
        <w:t>,</w:t>
      </w:r>
      <w:r w:rsidRPr="00317DE2">
        <w:rPr>
          <w:rFonts w:cs="Arial"/>
          <w:sz w:val="22"/>
          <w:szCs w:val="22"/>
        </w:rPr>
        <w:t xml:space="preserve"> a liczbą zabitych i rannych jest wyraźna – im mniej zdarzeń, tym mniej ofiar. Największa poprawa bezpieczeństwa widoczna jest w latach 2018–2022, po czym następuje okres stabilizacji. Możliwe czynniki wpływające na pozytywny trend: modernizacja infrastruktury drogowej, działania profilaktyczne Policji i kampanie społeczne, wzrost świadomości uczestników ruchu, rozwój technologii bezpieczeństwa w pojazdach.</w:t>
      </w:r>
    </w:p>
    <w:p w14:paraId="2CD1EA7F" w14:textId="0688DBC9" w:rsidR="001676E4" w:rsidRPr="00317DE2" w:rsidRDefault="001676E4" w:rsidP="001676E4">
      <w:pPr>
        <w:spacing w:after="0" w:line="360" w:lineRule="auto"/>
        <w:ind w:firstLine="709"/>
        <w:jc w:val="both"/>
        <w:rPr>
          <w:rFonts w:cs="Arial"/>
          <w:sz w:val="22"/>
          <w:szCs w:val="22"/>
        </w:rPr>
      </w:pPr>
      <w:r w:rsidRPr="00317DE2">
        <w:rPr>
          <w:rFonts w:cs="Arial"/>
          <w:sz w:val="22"/>
          <w:szCs w:val="22"/>
        </w:rPr>
        <w:t>W latach 2018</w:t>
      </w:r>
      <w:r w:rsidR="00067565">
        <w:rPr>
          <w:rFonts w:cs="Arial"/>
          <w:sz w:val="22"/>
          <w:szCs w:val="22"/>
        </w:rPr>
        <w:t xml:space="preserve"> </w:t>
      </w:r>
      <w:r w:rsidRPr="00317DE2">
        <w:rPr>
          <w:rFonts w:cs="Arial"/>
          <w:sz w:val="22"/>
          <w:szCs w:val="22"/>
        </w:rPr>
        <w:t>–</w:t>
      </w:r>
      <w:r w:rsidR="00067565">
        <w:rPr>
          <w:rFonts w:cs="Arial"/>
          <w:sz w:val="22"/>
          <w:szCs w:val="22"/>
        </w:rPr>
        <w:t xml:space="preserve"> </w:t>
      </w:r>
      <w:r w:rsidRPr="00317DE2">
        <w:rPr>
          <w:rFonts w:cs="Arial"/>
          <w:sz w:val="22"/>
          <w:szCs w:val="22"/>
        </w:rPr>
        <w:t xml:space="preserve">2024 województwo lubelskie zanotowało znaczącą poprawę bezpieczeństwa na drogach. Liczba wypadków, zabitych i rannych zmniejszyła się o ok. </w:t>
      </w:r>
      <w:r w:rsidRPr="00317DE2">
        <w:rPr>
          <w:rFonts w:cs="Arial"/>
          <w:sz w:val="22"/>
          <w:szCs w:val="22"/>
        </w:rPr>
        <w:br/>
        <w:t>30-35%. Po roku 2022 dane wskazują na stabilizację – dalsza poprawa może wymagać nowych działań prewencyjnych i inwestycyjnych. Trend potwierdza skuteczność dotychczasowych polityk bezpieczeństwa, ale także wskazuje na konieczność utrzymania i rozwijania tych działań w kolejnych latach.</w:t>
      </w:r>
    </w:p>
    <w:p w14:paraId="0C1DDD29" w14:textId="5378416C" w:rsidR="001676E4" w:rsidRPr="0054713D" w:rsidRDefault="001676E4" w:rsidP="001676E4">
      <w:pPr>
        <w:pStyle w:val="Legenda"/>
        <w:keepNext/>
        <w:rPr>
          <w:sz w:val="20"/>
          <w:szCs w:val="16"/>
        </w:rPr>
      </w:pPr>
      <w:bookmarkStart w:id="57" w:name="_Toc214279696"/>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11</w:t>
      </w:r>
      <w:r w:rsidRPr="0054713D">
        <w:rPr>
          <w:sz w:val="20"/>
          <w:szCs w:val="16"/>
        </w:rPr>
        <w:fldChar w:fldCharType="end"/>
      </w:r>
      <w:r w:rsidRPr="0054713D">
        <w:rPr>
          <w:sz w:val="20"/>
          <w:szCs w:val="16"/>
        </w:rPr>
        <w:t>. Liczba wypadków drogowych i ich skutków spowodowanych przez kierujących pojazdami będących pod działaniem alkoholu w latach 2018-2024 w województwie lubelskim</w:t>
      </w:r>
      <w:bookmarkEnd w:id="57"/>
    </w:p>
    <w:tbl>
      <w:tblPr>
        <w:tblW w:w="9215" w:type="dxa"/>
        <w:tblInd w:w="-5" w:type="dxa"/>
        <w:tblCellMar>
          <w:left w:w="70" w:type="dxa"/>
          <w:right w:w="70" w:type="dxa"/>
        </w:tblCellMar>
        <w:tblLook w:val="04A0" w:firstRow="1" w:lastRow="0" w:firstColumn="1" w:lastColumn="0" w:noHBand="0" w:noVBand="1"/>
      </w:tblPr>
      <w:tblGrid>
        <w:gridCol w:w="1853"/>
        <w:gridCol w:w="586"/>
        <w:gridCol w:w="419"/>
        <w:gridCol w:w="585"/>
        <w:gridCol w:w="419"/>
        <w:gridCol w:w="585"/>
        <w:gridCol w:w="530"/>
        <w:gridCol w:w="585"/>
        <w:gridCol w:w="530"/>
        <w:gridCol w:w="585"/>
        <w:gridCol w:w="530"/>
        <w:gridCol w:w="585"/>
        <w:gridCol w:w="419"/>
        <w:gridCol w:w="585"/>
        <w:gridCol w:w="419"/>
      </w:tblGrid>
      <w:tr w:rsidR="001676E4" w:rsidRPr="0054713D" w14:paraId="7604E3CD" w14:textId="77777777" w:rsidTr="003D66E5">
        <w:trPr>
          <w:trHeight w:val="300"/>
        </w:trPr>
        <w:tc>
          <w:tcPr>
            <w:tcW w:w="0" w:type="auto"/>
            <w:tcBorders>
              <w:top w:val="single" w:sz="4" w:space="0" w:color="auto"/>
              <w:left w:val="single" w:sz="4" w:space="0" w:color="auto"/>
              <w:bottom w:val="single" w:sz="4" w:space="0" w:color="auto"/>
              <w:right w:val="nil"/>
            </w:tcBorders>
            <w:noWrap/>
            <w:vAlign w:val="bottom"/>
            <w:hideMark/>
          </w:tcPr>
          <w:p w14:paraId="70BA2B42" w14:textId="77777777" w:rsidR="001676E4" w:rsidRPr="0054713D" w:rsidRDefault="001676E4" w:rsidP="003D66E5">
            <w:pPr>
              <w:spacing w:after="0" w:line="240" w:lineRule="auto"/>
              <w:rPr>
                <w:rFonts w:cs="Arial"/>
                <w:b/>
                <w:bCs/>
                <w:color w:val="000000"/>
                <w:sz w:val="20"/>
              </w:rPr>
            </w:pPr>
            <w:r w:rsidRPr="0054713D">
              <w:rPr>
                <w:rFonts w:cs="Arial"/>
                <w:b/>
                <w:bCs/>
                <w:color w:val="000000"/>
                <w:sz w:val="20"/>
              </w:rPr>
              <w:t>Wyszczególnienie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11A7A1D"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CB7D2E"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8E34F7"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692A6BF"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13BE03"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6D3DA5"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E2EADD"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058E6F2"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A09067"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3D0ABFE"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62F8C7"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EECB66"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FDF17A"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25C50A"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w:t>
            </w:r>
          </w:p>
        </w:tc>
      </w:tr>
      <w:tr w:rsidR="001676E4" w:rsidRPr="0054713D" w14:paraId="34EFE9AA" w14:textId="77777777" w:rsidTr="003D66E5">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4A42124" w14:textId="77777777" w:rsidR="001676E4" w:rsidRPr="0054713D" w:rsidRDefault="001676E4" w:rsidP="003D66E5">
            <w:pPr>
              <w:spacing w:after="0" w:line="240" w:lineRule="auto"/>
              <w:rPr>
                <w:rFonts w:cs="Arial"/>
                <w:color w:val="000000"/>
                <w:sz w:val="20"/>
              </w:rPr>
            </w:pPr>
            <w:r w:rsidRPr="0054713D">
              <w:rPr>
                <w:rFonts w:cs="Arial"/>
                <w:color w:val="000000"/>
                <w:sz w:val="20"/>
              </w:rPr>
              <w:t>Wypadki</w:t>
            </w:r>
          </w:p>
        </w:tc>
        <w:tc>
          <w:tcPr>
            <w:tcW w:w="0" w:type="auto"/>
            <w:tcBorders>
              <w:top w:val="single" w:sz="4" w:space="0" w:color="auto"/>
              <w:left w:val="nil"/>
              <w:bottom w:val="single" w:sz="4" w:space="0" w:color="auto"/>
              <w:right w:val="single" w:sz="4" w:space="0" w:color="auto"/>
            </w:tcBorders>
            <w:vAlign w:val="center"/>
            <w:hideMark/>
          </w:tcPr>
          <w:p w14:paraId="17982AB0"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84</w:t>
            </w:r>
          </w:p>
        </w:tc>
        <w:tc>
          <w:tcPr>
            <w:tcW w:w="0" w:type="auto"/>
            <w:tcBorders>
              <w:top w:val="single" w:sz="4" w:space="0" w:color="auto"/>
              <w:left w:val="nil"/>
              <w:bottom w:val="single" w:sz="4" w:space="0" w:color="auto"/>
              <w:right w:val="single" w:sz="4" w:space="0" w:color="auto"/>
            </w:tcBorders>
            <w:vAlign w:val="center"/>
            <w:hideMark/>
          </w:tcPr>
          <w:p w14:paraId="43AA55CA"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6,9</w:t>
            </w:r>
          </w:p>
        </w:tc>
        <w:tc>
          <w:tcPr>
            <w:tcW w:w="0" w:type="auto"/>
            <w:tcBorders>
              <w:top w:val="single" w:sz="4" w:space="0" w:color="auto"/>
              <w:left w:val="nil"/>
              <w:bottom w:val="single" w:sz="4" w:space="0" w:color="auto"/>
              <w:right w:val="single" w:sz="4" w:space="0" w:color="auto"/>
            </w:tcBorders>
            <w:vAlign w:val="center"/>
            <w:hideMark/>
          </w:tcPr>
          <w:p w14:paraId="78A9F48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95</w:t>
            </w:r>
          </w:p>
        </w:tc>
        <w:tc>
          <w:tcPr>
            <w:tcW w:w="0" w:type="auto"/>
            <w:tcBorders>
              <w:top w:val="single" w:sz="4" w:space="0" w:color="auto"/>
              <w:left w:val="nil"/>
              <w:bottom w:val="single" w:sz="4" w:space="0" w:color="auto"/>
              <w:right w:val="single" w:sz="4" w:space="0" w:color="auto"/>
            </w:tcBorders>
            <w:vAlign w:val="center"/>
            <w:hideMark/>
          </w:tcPr>
          <w:p w14:paraId="2B16F08E"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8,4</w:t>
            </w:r>
          </w:p>
        </w:tc>
        <w:tc>
          <w:tcPr>
            <w:tcW w:w="0" w:type="auto"/>
            <w:tcBorders>
              <w:top w:val="single" w:sz="4" w:space="0" w:color="auto"/>
              <w:left w:val="nil"/>
              <w:bottom w:val="single" w:sz="4" w:space="0" w:color="auto"/>
              <w:right w:val="single" w:sz="4" w:space="0" w:color="auto"/>
            </w:tcBorders>
            <w:vAlign w:val="center"/>
            <w:hideMark/>
          </w:tcPr>
          <w:p w14:paraId="2A1747D6"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120</w:t>
            </w:r>
          </w:p>
        </w:tc>
        <w:tc>
          <w:tcPr>
            <w:tcW w:w="0" w:type="auto"/>
            <w:tcBorders>
              <w:top w:val="single" w:sz="4" w:space="0" w:color="auto"/>
              <w:left w:val="nil"/>
              <w:bottom w:val="single" w:sz="4" w:space="0" w:color="auto"/>
              <w:right w:val="single" w:sz="4" w:space="0" w:color="auto"/>
            </w:tcBorders>
            <w:vAlign w:val="center"/>
            <w:hideMark/>
          </w:tcPr>
          <w:p w14:paraId="5A2BA4D2"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13,0</w:t>
            </w:r>
          </w:p>
        </w:tc>
        <w:tc>
          <w:tcPr>
            <w:tcW w:w="0" w:type="auto"/>
            <w:tcBorders>
              <w:top w:val="single" w:sz="4" w:space="0" w:color="auto"/>
              <w:left w:val="nil"/>
              <w:bottom w:val="single" w:sz="4" w:space="0" w:color="auto"/>
              <w:right w:val="single" w:sz="4" w:space="0" w:color="auto"/>
            </w:tcBorders>
            <w:vAlign w:val="center"/>
            <w:hideMark/>
          </w:tcPr>
          <w:p w14:paraId="575F0273"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85</w:t>
            </w:r>
          </w:p>
        </w:tc>
        <w:tc>
          <w:tcPr>
            <w:tcW w:w="0" w:type="auto"/>
            <w:tcBorders>
              <w:top w:val="single" w:sz="4" w:space="0" w:color="auto"/>
              <w:left w:val="nil"/>
              <w:bottom w:val="single" w:sz="4" w:space="0" w:color="auto"/>
              <w:right w:val="single" w:sz="4" w:space="0" w:color="auto"/>
            </w:tcBorders>
            <w:vAlign w:val="center"/>
            <w:hideMark/>
          </w:tcPr>
          <w:p w14:paraId="72EDE0C6"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9,7</w:t>
            </w:r>
          </w:p>
        </w:tc>
        <w:tc>
          <w:tcPr>
            <w:tcW w:w="0" w:type="auto"/>
            <w:tcBorders>
              <w:top w:val="single" w:sz="4" w:space="0" w:color="auto"/>
              <w:left w:val="nil"/>
              <w:bottom w:val="single" w:sz="4" w:space="0" w:color="auto"/>
              <w:right w:val="single" w:sz="4" w:space="0" w:color="auto"/>
            </w:tcBorders>
            <w:vAlign w:val="center"/>
            <w:hideMark/>
          </w:tcPr>
          <w:p w14:paraId="2AD4F475"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93</w:t>
            </w:r>
          </w:p>
        </w:tc>
        <w:tc>
          <w:tcPr>
            <w:tcW w:w="0" w:type="auto"/>
            <w:tcBorders>
              <w:top w:val="single" w:sz="4" w:space="0" w:color="auto"/>
              <w:left w:val="nil"/>
              <w:bottom w:val="single" w:sz="4" w:space="0" w:color="auto"/>
              <w:right w:val="single" w:sz="4" w:space="0" w:color="auto"/>
            </w:tcBorders>
            <w:vAlign w:val="center"/>
            <w:hideMark/>
          </w:tcPr>
          <w:p w14:paraId="46B2EEF7"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12,1</w:t>
            </w:r>
          </w:p>
        </w:tc>
        <w:tc>
          <w:tcPr>
            <w:tcW w:w="0" w:type="auto"/>
            <w:tcBorders>
              <w:top w:val="single" w:sz="4" w:space="0" w:color="auto"/>
              <w:left w:val="nil"/>
              <w:bottom w:val="single" w:sz="4" w:space="0" w:color="auto"/>
              <w:right w:val="single" w:sz="4" w:space="0" w:color="auto"/>
            </w:tcBorders>
            <w:vAlign w:val="center"/>
            <w:hideMark/>
          </w:tcPr>
          <w:p w14:paraId="598657FD"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62</w:t>
            </w:r>
          </w:p>
        </w:tc>
        <w:tc>
          <w:tcPr>
            <w:tcW w:w="0" w:type="auto"/>
            <w:tcBorders>
              <w:top w:val="single" w:sz="4" w:space="0" w:color="auto"/>
              <w:left w:val="nil"/>
              <w:bottom w:val="single" w:sz="4" w:space="0" w:color="auto"/>
              <w:right w:val="single" w:sz="4" w:space="0" w:color="auto"/>
            </w:tcBorders>
            <w:vAlign w:val="center"/>
            <w:hideMark/>
          </w:tcPr>
          <w:p w14:paraId="11EA7215"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7,8</w:t>
            </w:r>
          </w:p>
        </w:tc>
        <w:tc>
          <w:tcPr>
            <w:tcW w:w="0" w:type="auto"/>
            <w:tcBorders>
              <w:top w:val="single" w:sz="4" w:space="0" w:color="auto"/>
              <w:left w:val="nil"/>
              <w:bottom w:val="single" w:sz="4" w:space="0" w:color="auto"/>
              <w:right w:val="single" w:sz="4" w:space="0" w:color="auto"/>
            </w:tcBorders>
            <w:vAlign w:val="center"/>
            <w:hideMark/>
          </w:tcPr>
          <w:p w14:paraId="6A275C0E"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65</w:t>
            </w:r>
          </w:p>
        </w:tc>
        <w:tc>
          <w:tcPr>
            <w:tcW w:w="0" w:type="auto"/>
            <w:tcBorders>
              <w:top w:val="single" w:sz="4" w:space="0" w:color="auto"/>
              <w:left w:val="nil"/>
              <w:bottom w:val="single" w:sz="4" w:space="0" w:color="auto"/>
              <w:right w:val="single" w:sz="4" w:space="0" w:color="auto"/>
            </w:tcBorders>
            <w:vAlign w:val="center"/>
            <w:hideMark/>
          </w:tcPr>
          <w:p w14:paraId="0303696B"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7,7</w:t>
            </w:r>
          </w:p>
        </w:tc>
      </w:tr>
      <w:tr w:rsidR="001676E4" w:rsidRPr="0054713D" w14:paraId="41E9B780" w14:textId="77777777" w:rsidTr="003D66E5">
        <w:trPr>
          <w:trHeight w:val="3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E3F6A6" w14:textId="77777777" w:rsidR="001676E4" w:rsidRPr="0054713D" w:rsidRDefault="001676E4" w:rsidP="003D66E5">
            <w:pPr>
              <w:spacing w:after="0" w:line="240" w:lineRule="auto"/>
              <w:rPr>
                <w:rFonts w:cs="Arial"/>
                <w:color w:val="000000"/>
                <w:sz w:val="20"/>
              </w:rPr>
            </w:pPr>
            <w:r w:rsidRPr="0054713D">
              <w:rPr>
                <w:rFonts w:cs="Arial"/>
                <w:color w:val="000000"/>
                <w:sz w:val="20"/>
              </w:rPr>
              <w:t>Zabici</w:t>
            </w:r>
          </w:p>
        </w:tc>
        <w:tc>
          <w:tcPr>
            <w:tcW w:w="0" w:type="auto"/>
            <w:tcBorders>
              <w:top w:val="nil"/>
              <w:left w:val="nil"/>
              <w:bottom w:val="single" w:sz="4" w:space="0" w:color="auto"/>
              <w:right w:val="single" w:sz="4" w:space="0" w:color="auto"/>
            </w:tcBorders>
            <w:vAlign w:val="center"/>
            <w:hideMark/>
          </w:tcPr>
          <w:p w14:paraId="2E7A319F"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18</w:t>
            </w:r>
          </w:p>
        </w:tc>
        <w:tc>
          <w:tcPr>
            <w:tcW w:w="0" w:type="auto"/>
            <w:tcBorders>
              <w:top w:val="nil"/>
              <w:left w:val="nil"/>
              <w:bottom w:val="single" w:sz="4" w:space="0" w:color="auto"/>
              <w:right w:val="single" w:sz="4" w:space="0" w:color="auto"/>
            </w:tcBorders>
            <w:vAlign w:val="center"/>
            <w:hideMark/>
          </w:tcPr>
          <w:p w14:paraId="20CE693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9,1</w:t>
            </w:r>
          </w:p>
        </w:tc>
        <w:tc>
          <w:tcPr>
            <w:tcW w:w="0" w:type="auto"/>
            <w:tcBorders>
              <w:top w:val="nil"/>
              <w:left w:val="nil"/>
              <w:bottom w:val="single" w:sz="4" w:space="0" w:color="auto"/>
              <w:right w:val="single" w:sz="4" w:space="0" w:color="auto"/>
            </w:tcBorders>
            <w:vAlign w:val="center"/>
            <w:hideMark/>
          </w:tcPr>
          <w:p w14:paraId="29A7559F"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13</w:t>
            </w:r>
          </w:p>
        </w:tc>
        <w:tc>
          <w:tcPr>
            <w:tcW w:w="0" w:type="auto"/>
            <w:tcBorders>
              <w:top w:val="nil"/>
              <w:left w:val="nil"/>
              <w:bottom w:val="single" w:sz="4" w:space="0" w:color="auto"/>
              <w:right w:val="single" w:sz="4" w:space="0" w:color="auto"/>
            </w:tcBorders>
            <w:vAlign w:val="center"/>
            <w:hideMark/>
          </w:tcPr>
          <w:p w14:paraId="138C8B2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7,6</w:t>
            </w:r>
          </w:p>
        </w:tc>
        <w:tc>
          <w:tcPr>
            <w:tcW w:w="0" w:type="auto"/>
            <w:tcBorders>
              <w:top w:val="nil"/>
              <w:left w:val="nil"/>
              <w:bottom w:val="single" w:sz="4" w:space="0" w:color="auto"/>
              <w:right w:val="single" w:sz="4" w:space="0" w:color="auto"/>
            </w:tcBorders>
            <w:vAlign w:val="center"/>
            <w:hideMark/>
          </w:tcPr>
          <w:p w14:paraId="11C34192"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19</w:t>
            </w:r>
          </w:p>
        </w:tc>
        <w:tc>
          <w:tcPr>
            <w:tcW w:w="0" w:type="auto"/>
            <w:tcBorders>
              <w:top w:val="nil"/>
              <w:left w:val="nil"/>
              <w:bottom w:val="single" w:sz="4" w:space="0" w:color="auto"/>
              <w:right w:val="single" w:sz="4" w:space="0" w:color="auto"/>
            </w:tcBorders>
            <w:vAlign w:val="center"/>
            <w:hideMark/>
          </w:tcPr>
          <w:p w14:paraId="0AB72ED2"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12,2</w:t>
            </w:r>
          </w:p>
        </w:tc>
        <w:tc>
          <w:tcPr>
            <w:tcW w:w="0" w:type="auto"/>
            <w:tcBorders>
              <w:top w:val="nil"/>
              <w:left w:val="nil"/>
              <w:bottom w:val="single" w:sz="4" w:space="0" w:color="auto"/>
              <w:right w:val="single" w:sz="4" w:space="0" w:color="auto"/>
            </w:tcBorders>
            <w:vAlign w:val="center"/>
            <w:hideMark/>
          </w:tcPr>
          <w:p w14:paraId="308BEB4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13</w:t>
            </w:r>
          </w:p>
        </w:tc>
        <w:tc>
          <w:tcPr>
            <w:tcW w:w="0" w:type="auto"/>
            <w:tcBorders>
              <w:top w:val="nil"/>
              <w:left w:val="nil"/>
              <w:bottom w:val="single" w:sz="4" w:space="0" w:color="auto"/>
              <w:right w:val="single" w:sz="4" w:space="0" w:color="auto"/>
            </w:tcBorders>
            <w:vAlign w:val="center"/>
            <w:hideMark/>
          </w:tcPr>
          <w:p w14:paraId="02CDFD74"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9,6</w:t>
            </w:r>
          </w:p>
        </w:tc>
        <w:tc>
          <w:tcPr>
            <w:tcW w:w="0" w:type="auto"/>
            <w:tcBorders>
              <w:top w:val="nil"/>
              <w:left w:val="nil"/>
              <w:bottom w:val="single" w:sz="4" w:space="0" w:color="auto"/>
              <w:right w:val="single" w:sz="4" w:space="0" w:color="auto"/>
            </w:tcBorders>
            <w:vAlign w:val="center"/>
            <w:hideMark/>
          </w:tcPr>
          <w:p w14:paraId="33810BE1"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17</w:t>
            </w:r>
          </w:p>
        </w:tc>
        <w:tc>
          <w:tcPr>
            <w:tcW w:w="0" w:type="auto"/>
            <w:tcBorders>
              <w:top w:val="nil"/>
              <w:left w:val="nil"/>
              <w:bottom w:val="single" w:sz="4" w:space="0" w:color="auto"/>
              <w:right w:val="single" w:sz="4" w:space="0" w:color="auto"/>
            </w:tcBorders>
            <w:vAlign w:val="center"/>
            <w:hideMark/>
          </w:tcPr>
          <w:p w14:paraId="78B18E2E"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14,0</w:t>
            </w:r>
          </w:p>
        </w:tc>
        <w:tc>
          <w:tcPr>
            <w:tcW w:w="0" w:type="auto"/>
            <w:tcBorders>
              <w:top w:val="nil"/>
              <w:left w:val="nil"/>
              <w:bottom w:val="single" w:sz="4" w:space="0" w:color="auto"/>
              <w:right w:val="single" w:sz="4" w:space="0" w:color="auto"/>
            </w:tcBorders>
            <w:vAlign w:val="center"/>
            <w:hideMark/>
          </w:tcPr>
          <w:p w14:paraId="4EA86A94"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w:t>
            </w:r>
          </w:p>
        </w:tc>
        <w:tc>
          <w:tcPr>
            <w:tcW w:w="0" w:type="auto"/>
            <w:tcBorders>
              <w:top w:val="nil"/>
              <w:left w:val="nil"/>
              <w:bottom w:val="single" w:sz="4" w:space="0" w:color="auto"/>
              <w:right w:val="single" w:sz="4" w:space="0" w:color="auto"/>
            </w:tcBorders>
            <w:vAlign w:val="center"/>
            <w:hideMark/>
          </w:tcPr>
          <w:p w14:paraId="2E0D90F3"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7,4</w:t>
            </w:r>
          </w:p>
        </w:tc>
        <w:tc>
          <w:tcPr>
            <w:tcW w:w="0" w:type="auto"/>
            <w:tcBorders>
              <w:top w:val="nil"/>
              <w:left w:val="nil"/>
              <w:bottom w:val="single" w:sz="4" w:space="0" w:color="auto"/>
              <w:right w:val="single" w:sz="4" w:space="0" w:color="auto"/>
            </w:tcBorders>
            <w:vAlign w:val="center"/>
            <w:hideMark/>
          </w:tcPr>
          <w:p w14:paraId="597E844E"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11</w:t>
            </w:r>
          </w:p>
        </w:tc>
        <w:tc>
          <w:tcPr>
            <w:tcW w:w="0" w:type="auto"/>
            <w:tcBorders>
              <w:top w:val="nil"/>
              <w:left w:val="nil"/>
              <w:bottom w:val="single" w:sz="4" w:space="0" w:color="auto"/>
              <w:right w:val="single" w:sz="4" w:space="0" w:color="auto"/>
            </w:tcBorders>
            <w:vAlign w:val="center"/>
            <w:hideMark/>
          </w:tcPr>
          <w:p w14:paraId="65A68FDB"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9,4</w:t>
            </w:r>
          </w:p>
        </w:tc>
      </w:tr>
      <w:tr w:rsidR="001676E4" w:rsidRPr="0054713D" w14:paraId="5B207B1F" w14:textId="77777777" w:rsidTr="003D66E5">
        <w:trPr>
          <w:trHeight w:val="3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317567" w14:textId="77777777" w:rsidR="001676E4" w:rsidRPr="0054713D" w:rsidRDefault="001676E4" w:rsidP="003D66E5">
            <w:pPr>
              <w:spacing w:after="0" w:line="240" w:lineRule="auto"/>
              <w:rPr>
                <w:rFonts w:cs="Arial"/>
                <w:color w:val="000000"/>
                <w:sz w:val="20"/>
              </w:rPr>
            </w:pPr>
            <w:r w:rsidRPr="0054713D">
              <w:rPr>
                <w:rFonts w:cs="Arial"/>
                <w:color w:val="000000"/>
                <w:sz w:val="20"/>
              </w:rPr>
              <w:t>Ranni</w:t>
            </w:r>
          </w:p>
        </w:tc>
        <w:tc>
          <w:tcPr>
            <w:tcW w:w="0" w:type="auto"/>
            <w:tcBorders>
              <w:top w:val="nil"/>
              <w:left w:val="nil"/>
              <w:bottom w:val="single" w:sz="4" w:space="0" w:color="auto"/>
              <w:right w:val="single" w:sz="4" w:space="0" w:color="auto"/>
            </w:tcBorders>
            <w:vAlign w:val="center"/>
            <w:hideMark/>
          </w:tcPr>
          <w:p w14:paraId="0A71CA56"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96</w:t>
            </w:r>
          </w:p>
        </w:tc>
        <w:tc>
          <w:tcPr>
            <w:tcW w:w="0" w:type="auto"/>
            <w:tcBorders>
              <w:top w:val="nil"/>
              <w:left w:val="nil"/>
              <w:bottom w:val="single" w:sz="4" w:space="0" w:color="auto"/>
              <w:right w:val="single" w:sz="4" w:space="0" w:color="auto"/>
            </w:tcBorders>
            <w:vAlign w:val="center"/>
            <w:hideMark/>
          </w:tcPr>
          <w:p w14:paraId="4A6BF785"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7,5</w:t>
            </w:r>
          </w:p>
        </w:tc>
        <w:tc>
          <w:tcPr>
            <w:tcW w:w="0" w:type="auto"/>
            <w:tcBorders>
              <w:top w:val="nil"/>
              <w:left w:val="nil"/>
              <w:bottom w:val="single" w:sz="4" w:space="0" w:color="auto"/>
              <w:right w:val="single" w:sz="4" w:space="0" w:color="auto"/>
            </w:tcBorders>
            <w:vAlign w:val="center"/>
            <w:hideMark/>
          </w:tcPr>
          <w:p w14:paraId="2B037E96"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108</w:t>
            </w:r>
          </w:p>
        </w:tc>
        <w:tc>
          <w:tcPr>
            <w:tcW w:w="0" w:type="auto"/>
            <w:tcBorders>
              <w:top w:val="nil"/>
              <w:left w:val="nil"/>
              <w:bottom w:val="single" w:sz="4" w:space="0" w:color="auto"/>
              <w:right w:val="single" w:sz="4" w:space="0" w:color="auto"/>
            </w:tcBorders>
            <w:vAlign w:val="center"/>
            <w:hideMark/>
          </w:tcPr>
          <w:p w14:paraId="401C0F1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8,9</w:t>
            </w:r>
          </w:p>
        </w:tc>
        <w:tc>
          <w:tcPr>
            <w:tcW w:w="0" w:type="auto"/>
            <w:tcBorders>
              <w:top w:val="nil"/>
              <w:left w:val="nil"/>
              <w:bottom w:val="single" w:sz="4" w:space="0" w:color="auto"/>
              <w:right w:val="single" w:sz="4" w:space="0" w:color="auto"/>
            </w:tcBorders>
            <w:vAlign w:val="center"/>
            <w:hideMark/>
          </w:tcPr>
          <w:p w14:paraId="0F7BD3F4"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125</w:t>
            </w:r>
          </w:p>
        </w:tc>
        <w:tc>
          <w:tcPr>
            <w:tcW w:w="0" w:type="auto"/>
            <w:tcBorders>
              <w:top w:val="nil"/>
              <w:left w:val="nil"/>
              <w:bottom w:val="single" w:sz="4" w:space="0" w:color="auto"/>
              <w:right w:val="single" w:sz="4" w:space="0" w:color="auto"/>
            </w:tcBorders>
            <w:vAlign w:val="center"/>
            <w:hideMark/>
          </w:tcPr>
          <w:p w14:paraId="1C7EEF04"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13,4</w:t>
            </w:r>
          </w:p>
        </w:tc>
        <w:tc>
          <w:tcPr>
            <w:tcW w:w="0" w:type="auto"/>
            <w:tcBorders>
              <w:top w:val="nil"/>
              <w:left w:val="nil"/>
              <w:bottom w:val="single" w:sz="4" w:space="0" w:color="auto"/>
              <w:right w:val="single" w:sz="4" w:space="0" w:color="auto"/>
            </w:tcBorders>
            <w:vAlign w:val="center"/>
            <w:hideMark/>
          </w:tcPr>
          <w:p w14:paraId="4CA428D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100</w:t>
            </w:r>
          </w:p>
        </w:tc>
        <w:tc>
          <w:tcPr>
            <w:tcW w:w="0" w:type="auto"/>
            <w:tcBorders>
              <w:top w:val="nil"/>
              <w:left w:val="nil"/>
              <w:bottom w:val="single" w:sz="4" w:space="0" w:color="auto"/>
              <w:right w:val="single" w:sz="4" w:space="0" w:color="auto"/>
            </w:tcBorders>
            <w:vAlign w:val="center"/>
            <w:hideMark/>
          </w:tcPr>
          <w:p w14:paraId="50BFCFBE"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10,5</w:t>
            </w:r>
          </w:p>
        </w:tc>
        <w:tc>
          <w:tcPr>
            <w:tcW w:w="0" w:type="auto"/>
            <w:tcBorders>
              <w:top w:val="nil"/>
              <w:left w:val="nil"/>
              <w:bottom w:val="single" w:sz="4" w:space="0" w:color="auto"/>
              <w:right w:val="single" w:sz="4" w:space="0" w:color="auto"/>
            </w:tcBorders>
            <w:vAlign w:val="center"/>
            <w:hideMark/>
          </w:tcPr>
          <w:p w14:paraId="69918DBA"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105</w:t>
            </w:r>
          </w:p>
        </w:tc>
        <w:tc>
          <w:tcPr>
            <w:tcW w:w="0" w:type="auto"/>
            <w:tcBorders>
              <w:top w:val="nil"/>
              <w:left w:val="nil"/>
              <w:bottom w:val="single" w:sz="4" w:space="0" w:color="auto"/>
              <w:right w:val="single" w:sz="4" w:space="0" w:color="auto"/>
            </w:tcBorders>
            <w:vAlign w:val="center"/>
            <w:hideMark/>
          </w:tcPr>
          <w:p w14:paraId="0FF71362"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13,2</w:t>
            </w:r>
          </w:p>
        </w:tc>
        <w:tc>
          <w:tcPr>
            <w:tcW w:w="0" w:type="auto"/>
            <w:tcBorders>
              <w:top w:val="nil"/>
              <w:left w:val="nil"/>
              <w:bottom w:val="single" w:sz="4" w:space="0" w:color="auto"/>
              <w:right w:val="single" w:sz="4" w:space="0" w:color="auto"/>
            </w:tcBorders>
            <w:vAlign w:val="center"/>
            <w:hideMark/>
          </w:tcPr>
          <w:p w14:paraId="14AF3EEA"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65</w:t>
            </w:r>
          </w:p>
        </w:tc>
        <w:tc>
          <w:tcPr>
            <w:tcW w:w="0" w:type="auto"/>
            <w:tcBorders>
              <w:top w:val="nil"/>
              <w:left w:val="nil"/>
              <w:bottom w:val="single" w:sz="4" w:space="0" w:color="auto"/>
              <w:right w:val="single" w:sz="4" w:space="0" w:color="auto"/>
            </w:tcBorders>
            <w:vAlign w:val="center"/>
            <w:hideMark/>
          </w:tcPr>
          <w:p w14:paraId="220D6636"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7,8</w:t>
            </w:r>
          </w:p>
        </w:tc>
        <w:tc>
          <w:tcPr>
            <w:tcW w:w="0" w:type="auto"/>
            <w:tcBorders>
              <w:top w:val="nil"/>
              <w:left w:val="nil"/>
              <w:bottom w:val="single" w:sz="4" w:space="0" w:color="auto"/>
              <w:right w:val="single" w:sz="4" w:space="0" w:color="auto"/>
            </w:tcBorders>
            <w:vAlign w:val="center"/>
            <w:hideMark/>
          </w:tcPr>
          <w:p w14:paraId="7716D8DD"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71</w:t>
            </w:r>
          </w:p>
        </w:tc>
        <w:tc>
          <w:tcPr>
            <w:tcW w:w="0" w:type="auto"/>
            <w:tcBorders>
              <w:top w:val="nil"/>
              <w:left w:val="nil"/>
              <w:bottom w:val="single" w:sz="4" w:space="0" w:color="auto"/>
              <w:right w:val="single" w:sz="4" w:space="0" w:color="auto"/>
            </w:tcBorders>
            <w:vAlign w:val="center"/>
            <w:hideMark/>
          </w:tcPr>
          <w:p w14:paraId="428A9FC7"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8,2</w:t>
            </w:r>
          </w:p>
        </w:tc>
      </w:tr>
      <w:tr w:rsidR="001676E4" w:rsidRPr="0054713D" w14:paraId="168E9615" w14:textId="77777777" w:rsidTr="003D66E5">
        <w:trPr>
          <w:trHeight w:val="300"/>
        </w:trPr>
        <w:tc>
          <w:tcPr>
            <w:tcW w:w="0" w:type="auto"/>
            <w:gridSpan w:val="3"/>
            <w:tcBorders>
              <w:top w:val="nil"/>
              <w:left w:val="nil"/>
              <w:bottom w:val="nil"/>
              <w:right w:val="nil"/>
            </w:tcBorders>
            <w:noWrap/>
            <w:vAlign w:val="bottom"/>
            <w:hideMark/>
          </w:tcPr>
          <w:p w14:paraId="08202856" w14:textId="77777777" w:rsidR="001676E4" w:rsidRPr="0054713D" w:rsidRDefault="001676E4" w:rsidP="003D66E5">
            <w:pPr>
              <w:spacing w:after="0" w:line="240" w:lineRule="auto"/>
              <w:rPr>
                <w:rFonts w:cs="Arial"/>
                <w:color w:val="000000"/>
                <w:sz w:val="20"/>
              </w:rPr>
            </w:pPr>
            <w:r w:rsidRPr="0054713D">
              <w:rPr>
                <w:rFonts w:cs="Arial"/>
                <w:color w:val="000000"/>
                <w:sz w:val="20"/>
              </w:rPr>
              <w:t>%* - do ogółu wypadków</w:t>
            </w:r>
          </w:p>
        </w:tc>
        <w:tc>
          <w:tcPr>
            <w:tcW w:w="0" w:type="auto"/>
            <w:tcBorders>
              <w:top w:val="nil"/>
              <w:left w:val="nil"/>
              <w:bottom w:val="nil"/>
              <w:right w:val="nil"/>
            </w:tcBorders>
            <w:noWrap/>
            <w:vAlign w:val="bottom"/>
            <w:hideMark/>
          </w:tcPr>
          <w:p w14:paraId="54B81713" w14:textId="77777777" w:rsidR="001676E4" w:rsidRPr="0054713D" w:rsidRDefault="001676E4" w:rsidP="003D66E5">
            <w:pPr>
              <w:spacing w:after="0" w:line="240" w:lineRule="auto"/>
              <w:rPr>
                <w:rFonts w:cs="Arial"/>
                <w:color w:val="000000"/>
                <w:sz w:val="20"/>
              </w:rPr>
            </w:pPr>
          </w:p>
        </w:tc>
        <w:tc>
          <w:tcPr>
            <w:tcW w:w="0" w:type="auto"/>
            <w:tcBorders>
              <w:top w:val="nil"/>
              <w:left w:val="nil"/>
              <w:bottom w:val="nil"/>
              <w:right w:val="nil"/>
            </w:tcBorders>
            <w:noWrap/>
            <w:vAlign w:val="bottom"/>
            <w:hideMark/>
          </w:tcPr>
          <w:p w14:paraId="355A17B5"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5C4C527E"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7705A082"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2DEB9B48"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42B0DCF7"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1619D855"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788CFE3B"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540216F7"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6F37F38B"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50871853" w14:textId="77777777" w:rsidR="001676E4" w:rsidRPr="0054713D" w:rsidRDefault="001676E4" w:rsidP="003D66E5">
            <w:pPr>
              <w:spacing w:after="0" w:line="240" w:lineRule="auto"/>
              <w:rPr>
                <w:rFonts w:cs="Arial"/>
                <w:sz w:val="20"/>
              </w:rPr>
            </w:pPr>
          </w:p>
        </w:tc>
        <w:tc>
          <w:tcPr>
            <w:tcW w:w="0" w:type="auto"/>
            <w:tcBorders>
              <w:top w:val="nil"/>
              <w:left w:val="nil"/>
              <w:bottom w:val="nil"/>
              <w:right w:val="nil"/>
            </w:tcBorders>
            <w:noWrap/>
            <w:vAlign w:val="bottom"/>
            <w:hideMark/>
          </w:tcPr>
          <w:p w14:paraId="69BD19AB" w14:textId="77777777" w:rsidR="001676E4" w:rsidRPr="0054713D" w:rsidRDefault="001676E4" w:rsidP="003D66E5">
            <w:pPr>
              <w:spacing w:after="0" w:line="240" w:lineRule="auto"/>
              <w:rPr>
                <w:rFonts w:cs="Arial"/>
                <w:sz w:val="20"/>
              </w:rPr>
            </w:pPr>
          </w:p>
        </w:tc>
      </w:tr>
    </w:tbl>
    <w:bookmarkEnd w:id="56"/>
    <w:p w14:paraId="62A74650" w14:textId="42D223FB" w:rsidR="00EF0A89" w:rsidRPr="00EF0A89" w:rsidRDefault="001676E4" w:rsidP="00EF0A89">
      <w:pPr>
        <w:spacing w:after="0" w:line="240" w:lineRule="auto"/>
        <w:ind w:firstLine="709"/>
        <w:jc w:val="both"/>
        <w:rPr>
          <w:rFonts w:cs="Arial"/>
          <w:sz w:val="18"/>
          <w:szCs w:val="18"/>
        </w:rPr>
      </w:pPr>
      <w:r w:rsidRPr="004B3E03">
        <w:rPr>
          <w:rFonts w:cs="Arial"/>
          <w:sz w:val="18"/>
          <w:szCs w:val="18"/>
        </w:rPr>
        <w:t xml:space="preserve">Źródło: </w:t>
      </w:r>
      <w:r w:rsidR="00EF0A89" w:rsidRPr="00EF0A89">
        <w:rPr>
          <w:rFonts w:cs="Arial"/>
          <w:sz w:val="18"/>
          <w:szCs w:val="18"/>
        </w:rPr>
        <w:t>Dane własne KGP w Lublinie</w:t>
      </w:r>
    </w:p>
    <w:p w14:paraId="772058C0" w14:textId="46415409" w:rsidR="001676E4" w:rsidRPr="004B3E03" w:rsidRDefault="001676E4" w:rsidP="001676E4">
      <w:pPr>
        <w:spacing w:after="240" w:line="240" w:lineRule="auto"/>
        <w:ind w:right="1"/>
        <w:jc w:val="both"/>
        <w:rPr>
          <w:rFonts w:cs="Arial"/>
          <w:sz w:val="18"/>
          <w:szCs w:val="18"/>
        </w:rPr>
      </w:pPr>
    </w:p>
    <w:p w14:paraId="2EF9B5A3" w14:textId="42570B04" w:rsidR="001676E4" w:rsidRPr="00317DE2" w:rsidRDefault="001676E4" w:rsidP="001676E4">
      <w:pPr>
        <w:tabs>
          <w:tab w:val="left" w:pos="426"/>
        </w:tabs>
        <w:spacing w:after="120" w:line="360" w:lineRule="auto"/>
        <w:jc w:val="both"/>
        <w:rPr>
          <w:rFonts w:cs="Arial"/>
          <w:sz w:val="22"/>
          <w:szCs w:val="22"/>
        </w:rPr>
      </w:pPr>
      <w:r w:rsidRPr="00317DE2">
        <w:rPr>
          <w:rFonts w:cs="Arial"/>
          <w:sz w:val="22"/>
          <w:szCs w:val="22"/>
        </w:rPr>
        <w:tab/>
        <w:t>Warto nadmienić, że ogólna liczba wszystkich ujawnionych kierujących pojazdami pod wpływem alkoholu (w stanie po użyciu oraz w stanie nietrzeźwości) była zdecydowanie większa w porównaniu do liczby wypadków drogowych spowodowanych przez kierujących znajdujących się pod wpływem alkoholu. Na przestrzeni lat 2018</w:t>
      </w:r>
      <w:r w:rsidR="00067565">
        <w:rPr>
          <w:rFonts w:cs="Arial"/>
          <w:sz w:val="22"/>
          <w:szCs w:val="22"/>
        </w:rPr>
        <w:t xml:space="preserve"> </w:t>
      </w:r>
      <w:r w:rsidRPr="00317DE2">
        <w:rPr>
          <w:rFonts w:cs="Arial"/>
          <w:sz w:val="22"/>
          <w:szCs w:val="22"/>
        </w:rPr>
        <w:t>-</w:t>
      </w:r>
      <w:r w:rsidR="00067565">
        <w:rPr>
          <w:rFonts w:cs="Arial"/>
          <w:sz w:val="22"/>
          <w:szCs w:val="22"/>
        </w:rPr>
        <w:t xml:space="preserve"> </w:t>
      </w:r>
      <w:r w:rsidRPr="00317DE2">
        <w:rPr>
          <w:rFonts w:cs="Arial"/>
          <w:sz w:val="22"/>
          <w:szCs w:val="22"/>
        </w:rPr>
        <w:t>2020 w województwie lubelskim następował wzrost liczby ujawnionych przypadków kierowania pojazdami przez osoby znajdujące się pod wpływem alkoholu</w:t>
      </w:r>
      <w:r w:rsidR="00067565">
        <w:rPr>
          <w:rFonts w:cs="Arial"/>
          <w:sz w:val="22"/>
          <w:szCs w:val="22"/>
        </w:rPr>
        <w:t>,</w:t>
      </w:r>
      <w:r w:rsidRPr="00317DE2">
        <w:rPr>
          <w:rFonts w:cs="Arial"/>
          <w:sz w:val="22"/>
          <w:szCs w:val="22"/>
        </w:rPr>
        <w:t xml:space="preserve"> spośród których największą liczbę stanowiły osoby będące w stanie nietrzeźwości, tj. powyżej 0,5‰. </w:t>
      </w:r>
    </w:p>
    <w:p w14:paraId="3CB9F9AB" w14:textId="7B446745" w:rsidR="001676E4" w:rsidRPr="00317DE2" w:rsidRDefault="001676E4" w:rsidP="001676E4">
      <w:pPr>
        <w:tabs>
          <w:tab w:val="left" w:pos="426"/>
        </w:tabs>
        <w:spacing w:after="120" w:line="360" w:lineRule="auto"/>
        <w:jc w:val="both"/>
        <w:rPr>
          <w:rFonts w:cs="Arial"/>
          <w:sz w:val="22"/>
          <w:szCs w:val="22"/>
        </w:rPr>
      </w:pPr>
      <w:r w:rsidRPr="00317DE2">
        <w:rPr>
          <w:rFonts w:cs="Arial"/>
          <w:sz w:val="22"/>
          <w:szCs w:val="22"/>
        </w:rPr>
        <w:tab/>
        <w:t>Na przestrzeni lat 2021–2024 w województwie lubelskim nastąpił wyraźny spadek liczby ujawnionych przypadków kierowania pojazdami przez osoby znajdujące się pod wpływem alkoholu. W 2021 roku odnotowano łącznie 7</w:t>
      </w:r>
      <w:r>
        <w:rPr>
          <w:rFonts w:cs="Arial"/>
          <w:sz w:val="22"/>
          <w:szCs w:val="22"/>
        </w:rPr>
        <w:t xml:space="preserve"> </w:t>
      </w:r>
      <w:r w:rsidRPr="00317DE2">
        <w:rPr>
          <w:rFonts w:cs="Arial"/>
          <w:sz w:val="22"/>
          <w:szCs w:val="22"/>
        </w:rPr>
        <w:t>647 przypadków, z czego 1</w:t>
      </w:r>
      <w:r>
        <w:rPr>
          <w:rFonts w:cs="Arial"/>
          <w:sz w:val="22"/>
          <w:szCs w:val="22"/>
        </w:rPr>
        <w:t xml:space="preserve"> </w:t>
      </w:r>
      <w:r w:rsidRPr="00317DE2">
        <w:rPr>
          <w:rFonts w:cs="Arial"/>
          <w:sz w:val="22"/>
          <w:szCs w:val="22"/>
        </w:rPr>
        <w:t>115 dotyczyło stanu po użyciu alkoholu, a 6</w:t>
      </w:r>
      <w:r>
        <w:rPr>
          <w:rFonts w:cs="Arial"/>
          <w:sz w:val="22"/>
          <w:szCs w:val="22"/>
        </w:rPr>
        <w:t xml:space="preserve"> </w:t>
      </w:r>
      <w:r w:rsidRPr="00317DE2">
        <w:rPr>
          <w:rFonts w:cs="Arial"/>
          <w:sz w:val="22"/>
          <w:szCs w:val="22"/>
        </w:rPr>
        <w:t>532 – stanu nietrzeźwości. W kolejnych latach liczba ta systematycznie malała – w 2022 roku ujawniono 4</w:t>
      </w:r>
      <w:r>
        <w:rPr>
          <w:rFonts w:cs="Arial"/>
          <w:sz w:val="22"/>
          <w:szCs w:val="22"/>
        </w:rPr>
        <w:t xml:space="preserve"> </w:t>
      </w:r>
      <w:r w:rsidRPr="00317DE2">
        <w:rPr>
          <w:rFonts w:cs="Arial"/>
          <w:sz w:val="22"/>
          <w:szCs w:val="22"/>
        </w:rPr>
        <w:t xml:space="preserve">087 kierujących (w tym 799 w stanie po użyciu alkoholu </w:t>
      </w:r>
      <w:r w:rsidRPr="00317DE2">
        <w:rPr>
          <w:rFonts w:cs="Arial"/>
          <w:sz w:val="22"/>
          <w:szCs w:val="22"/>
        </w:rPr>
        <w:br/>
        <w:t>i 3</w:t>
      </w:r>
      <w:r>
        <w:rPr>
          <w:rFonts w:cs="Arial"/>
          <w:sz w:val="22"/>
          <w:szCs w:val="22"/>
        </w:rPr>
        <w:t xml:space="preserve"> </w:t>
      </w:r>
      <w:r w:rsidRPr="00317DE2">
        <w:rPr>
          <w:rFonts w:cs="Arial"/>
          <w:sz w:val="22"/>
          <w:szCs w:val="22"/>
        </w:rPr>
        <w:t>288 w stanie nietrzeźwości), w 2023 roku – 3</w:t>
      </w:r>
      <w:r w:rsidR="00067565">
        <w:rPr>
          <w:rFonts w:cs="Arial"/>
          <w:sz w:val="22"/>
          <w:szCs w:val="22"/>
        </w:rPr>
        <w:t xml:space="preserve"> </w:t>
      </w:r>
      <w:r w:rsidRPr="00317DE2">
        <w:rPr>
          <w:rFonts w:cs="Arial"/>
          <w:sz w:val="22"/>
          <w:szCs w:val="22"/>
        </w:rPr>
        <w:t>422 przypadki (odpowiednio 735 i 2</w:t>
      </w:r>
      <w:r>
        <w:rPr>
          <w:rFonts w:cs="Arial"/>
          <w:sz w:val="22"/>
          <w:szCs w:val="22"/>
        </w:rPr>
        <w:t xml:space="preserve"> </w:t>
      </w:r>
      <w:r w:rsidRPr="00317DE2">
        <w:rPr>
          <w:rFonts w:cs="Arial"/>
          <w:sz w:val="22"/>
          <w:szCs w:val="22"/>
        </w:rPr>
        <w:t>687), natomiast w 2024 roku – 3486 przypadków, w tym 791 w stanie po użyciu alkoholu oraz 2</w:t>
      </w:r>
      <w:r w:rsidR="00067565">
        <w:rPr>
          <w:rFonts w:cs="Arial"/>
          <w:sz w:val="22"/>
          <w:szCs w:val="22"/>
        </w:rPr>
        <w:t xml:space="preserve"> </w:t>
      </w:r>
      <w:r w:rsidRPr="00317DE2">
        <w:rPr>
          <w:rFonts w:cs="Arial"/>
          <w:sz w:val="22"/>
          <w:szCs w:val="22"/>
        </w:rPr>
        <w:t xml:space="preserve">695 </w:t>
      </w:r>
      <w:r w:rsidRPr="00317DE2">
        <w:rPr>
          <w:rFonts w:cs="Arial"/>
          <w:sz w:val="22"/>
          <w:szCs w:val="22"/>
        </w:rPr>
        <w:lastRenderedPageBreak/>
        <w:t>w stanie nietrzeźwości. Spadek liczby ujawnionych przypadków w ostatnich latach może świadczyć o zwiększonej świadomości społecznej oraz skuteczniejszych działaniach prewencyjnych i kontrolnych prowadzonych przez Policję w regionie.</w:t>
      </w:r>
    </w:p>
    <w:p w14:paraId="45ABEB97" w14:textId="77777777" w:rsidR="001676E4" w:rsidRPr="00317DE2" w:rsidRDefault="001676E4" w:rsidP="001676E4">
      <w:pPr>
        <w:tabs>
          <w:tab w:val="left" w:pos="426"/>
        </w:tabs>
        <w:spacing w:after="120" w:line="360" w:lineRule="auto"/>
        <w:jc w:val="both"/>
        <w:rPr>
          <w:rFonts w:cs="Arial"/>
          <w:sz w:val="22"/>
          <w:szCs w:val="22"/>
        </w:rPr>
      </w:pPr>
      <w:r w:rsidRPr="00317DE2">
        <w:rPr>
          <w:rFonts w:cs="Arial"/>
          <w:sz w:val="22"/>
          <w:szCs w:val="22"/>
        </w:rPr>
        <w:t>Szczegółowe dane dotyczące województwa lubelskiego prezentują się następująco:</w:t>
      </w:r>
    </w:p>
    <w:p w14:paraId="6F79CADB" w14:textId="1412C1CA" w:rsidR="001676E4" w:rsidRPr="0054713D" w:rsidRDefault="001676E4" w:rsidP="001676E4">
      <w:pPr>
        <w:pStyle w:val="Legenda"/>
        <w:keepNext/>
        <w:rPr>
          <w:sz w:val="20"/>
          <w:szCs w:val="16"/>
        </w:rPr>
      </w:pPr>
      <w:bookmarkStart w:id="58" w:name="_Toc214279697"/>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12</w:t>
      </w:r>
      <w:r w:rsidRPr="0054713D">
        <w:rPr>
          <w:sz w:val="20"/>
          <w:szCs w:val="16"/>
        </w:rPr>
        <w:fldChar w:fldCharType="end"/>
      </w:r>
      <w:r w:rsidRPr="0054713D">
        <w:rPr>
          <w:sz w:val="20"/>
          <w:szCs w:val="16"/>
        </w:rPr>
        <w:t>. Liczba ujawnionych kierujących pojazdami pod wpływem alkoholu (w stanie po użyciu oraz w stanie nietrzeźwości) w województwie lubelskim w latach 2018-2024</w:t>
      </w:r>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226"/>
        <w:gridCol w:w="2277"/>
        <w:gridCol w:w="2457"/>
      </w:tblGrid>
      <w:tr w:rsidR="001676E4" w:rsidRPr="0054713D" w14:paraId="36F33723" w14:textId="77777777" w:rsidTr="003D66E5">
        <w:trPr>
          <w:trHeight w:val="418"/>
          <w:tblHeader/>
          <w:jc w:val="center"/>
        </w:trPr>
        <w:tc>
          <w:tcPr>
            <w:tcW w:w="2112" w:type="dxa"/>
            <w:vAlign w:val="center"/>
          </w:tcPr>
          <w:p w14:paraId="2E682CF2" w14:textId="77777777" w:rsidR="001676E4" w:rsidRPr="0054713D" w:rsidRDefault="001676E4" w:rsidP="003D66E5">
            <w:pPr>
              <w:spacing w:after="0" w:line="360" w:lineRule="auto"/>
              <w:jc w:val="center"/>
              <w:rPr>
                <w:rFonts w:cs="Arial"/>
                <w:b/>
                <w:sz w:val="20"/>
              </w:rPr>
            </w:pPr>
            <w:r w:rsidRPr="0054713D">
              <w:rPr>
                <w:rFonts w:cs="Arial"/>
                <w:b/>
                <w:sz w:val="20"/>
              </w:rPr>
              <w:t>Rok</w:t>
            </w:r>
          </w:p>
        </w:tc>
        <w:tc>
          <w:tcPr>
            <w:tcW w:w="2226" w:type="dxa"/>
            <w:vAlign w:val="center"/>
          </w:tcPr>
          <w:p w14:paraId="6D90FD47" w14:textId="77777777" w:rsidR="001676E4" w:rsidRPr="0054713D" w:rsidRDefault="001676E4" w:rsidP="003D66E5">
            <w:pPr>
              <w:spacing w:after="0" w:line="360" w:lineRule="auto"/>
              <w:jc w:val="center"/>
              <w:rPr>
                <w:rFonts w:cs="Arial"/>
                <w:b/>
                <w:sz w:val="20"/>
              </w:rPr>
            </w:pPr>
            <w:r w:rsidRPr="0054713D">
              <w:rPr>
                <w:rFonts w:cs="Arial"/>
                <w:b/>
                <w:sz w:val="20"/>
              </w:rPr>
              <w:t>Stan po użyciu</w:t>
            </w:r>
          </w:p>
        </w:tc>
        <w:tc>
          <w:tcPr>
            <w:tcW w:w="2277" w:type="dxa"/>
            <w:vAlign w:val="center"/>
          </w:tcPr>
          <w:p w14:paraId="6E5183ED" w14:textId="77777777" w:rsidR="001676E4" w:rsidRPr="0054713D" w:rsidRDefault="001676E4" w:rsidP="003D66E5">
            <w:pPr>
              <w:spacing w:after="0" w:line="360" w:lineRule="auto"/>
              <w:jc w:val="center"/>
              <w:rPr>
                <w:rFonts w:cs="Arial"/>
                <w:b/>
                <w:sz w:val="20"/>
              </w:rPr>
            </w:pPr>
            <w:r w:rsidRPr="0054713D">
              <w:rPr>
                <w:rFonts w:cs="Arial"/>
                <w:b/>
                <w:sz w:val="20"/>
              </w:rPr>
              <w:t>Stan nietrzeźwości</w:t>
            </w:r>
          </w:p>
        </w:tc>
        <w:tc>
          <w:tcPr>
            <w:tcW w:w="2457" w:type="dxa"/>
            <w:vAlign w:val="center"/>
          </w:tcPr>
          <w:p w14:paraId="483F141B" w14:textId="77777777" w:rsidR="001676E4" w:rsidRPr="0054713D" w:rsidRDefault="001676E4" w:rsidP="003D66E5">
            <w:pPr>
              <w:spacing w:after="0" w:line="360" w:lineRule="auto"/>
              <w:jc w:val="center"/>
              <w:rPr>
                <w:rFonts w:cs="Arial"/>
                <w:b/>
                <w:sz w:val="20"/>
              </w:rPr>
            </w:pPr>
            <w:r w:rsidRPr="0054713D">
              <w:rPr>
                <w:rFonts w:cs="Arial"/>
                <w:b/>
                <w:sz w:val="20"/>
              </w:rPr>
              <w:t>Razem</w:t>
            </w:r>
          </w:p>
        </w:tc>
      </w:tr>
      <w:tr w:rsidR="001676E4" w:rsidRPr="0054713D" w14:paraId="2BCA76D8" w14:textId="77777777" w:rsidTr="003D66E5">
        <w:trPr>
          <w:trHeight w:val="340"/>
          <w:jc w:val="center"/>
        </w:trPr>
        <w:tc>
          <w:tcPr>
            <w:tcW w:w="2112" w:type="dxa"/>
            <w:vAlign w:val="center"/>
          </w:tcPr>
          <w:p w14:paraId="2B96FFB3"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2018</w:t>
            </w:r>
          </w:p>
        </w:tc>
        <w:tc>
          <w:tcPr>
            <w:tcW w:w="2226" w:type="dxa"/>
            <w:vAlign w:val="center"/>
          </w:tcPr>
          <w:p w14:paraId="5ADC4287" w14:textId="141AA99C" w:rsidR="001676E4" w:rsidRPr="0054713D" w:rsidRDefault="001676E4" w:rsidP="003D66E5">
            <w:pPr>
              <w:spacing w:after="0" w:line="240" w:lineRule="auto"/>
              <w:jc w:val="center"/>
              <w:rPr>
                <w:rFonts w:cs="Arial"/>
                <w:color w:val="000000"/>
                <w:sz w:val="20"/>
              </w:rPr>
            </w:pPr>
            <w:r w:rsidRPr="0054713D">
              <w:rPr>
                <w:rFonts w:cs="Arial"/>
                <w:color w:val="000000"/>
                <w:sz w:val="20"/>
              </w:rPr>
              <w:t>1</w:t>
            </w:r>
            <w:r w:rsidR="00067565">
              <w:rPr>
                <w:rFonts w:cs="Arial"/>
                <w:color w:val="000000"/>
                <w:sz w:val="20"/>
              </w:rPr>
              <w:t xml:space="preserve"> </w:t>
            </w:r>
            <w:r w:rsidRPr="0054713D">
              <w:rPr>
                <w:rFonts w:cs="Arial"/>
                <w:color w:val="000000"/>
                <w:sz w:val="20"/>
              </w:rPr>
              <w:t>233</w:t>
            </w:r>
          </w:p>
        </w:tc>
        <w:tc>
          <w:tcPr>
            <w:tcW w:w="2277" w:type="dxa"/>
            <w:vAlign w:val="center"/>
          </w:tcPr>
          <w:p w14:paraId="4EF12057" w14:textId="5DE970D4" w:rsidR="001676E4" w:rsidRPr="0054713D" w:rsidRDefault="001676E4" w:rsidP="003D66E5">
            <w:pPr>
              <w:spacing w:after="0" w:line="240" w:lineRule="auto"/>
              <w:jc w:val="center"/>
              <w:rPr>
                <w:rFonts w:cs="Arial"/>
                <w:color w:val="000000"/>
                <w:sz w:val="20"/>
              </w:rPr>
            </w:pPr>
            <w:r w:rsidRPr="0054713D">
              <w:rPr>
                <w:rFonts w:cs="Arial"/>
                <w:color w:val="000000"/>
                <w:sz w:val="20"/>
              </w:rPr>
              <w:t>5</w:t>
            </w:r>
            <w:r w:rsidR="00067565">
              <w:rPr>
                <w:rFonts w:cs="Arial"/>
                <w:color w:val="000000"/>
                <w:sz w:val="20"/>
              </w:rPr>
              <w:t xml:space="preserve"> </w:t>
            </w:r>
            <w:r w:rsidRPr="0054713D">
              <w:rPr>
                <w:rFonts w:cs="Arial"/>
                <w:color w:val="000000"/>
                <w:sz w:val="20"/>
              </w:rPr>
              <w:t>212</w:t>
            </w:r>
          </w:p>
        </w:tc>
        <w:tc>
          <w:tcPr>
            <w:tcW w:w="2457" w:type="dxa"/>
            <w:vAlign w:val="center"/>
          </w:tcPr>
          <w:p w14:paraId="137287A5"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6 445</w:t>
            </w:r>
          </w:p>
        </w:tc>
      </w:tr>
      <w:tr w:rsidR="001676E4" w:rsidRPr="0054713D" w14:paraId="2B928708" w14:textId="77777777" w:rsidTr="003D66E5">
        <w:trPr>
          <w:trHeight w:val="340"/>
          <w:jc w:val="center"/>
        </w:trPr>
        <w:tc>
          <w:tcPr>
            <w:tcW w:w="2112" w:type="dxa"/>
            <w:vAlign w:val="center"/>
          </w:tcPr>
          <w:p w14:paraId="113E1543"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2019</w:t>
            </w:r>
          </w:p>
        </w:tc>
        <w:tc>
          <w:tcPr>
            <w:tcW w:w="2226" w:type="dxa"/>
            <w:vAlign w:val="center"/>
          </w:tcPr>
          <w:p w14:paraId="15C2682F"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955</w:t>
            </w:r>
          </w:p>
        </w:tc>
        <w:tc>
          <w:tcPr>
            <w:tcW w:w="2277" w:type="dxa"/>
            <w:vAlign w:val="center"/>
          </w:tcPr>
          <w:p w14:paraId="5E23996E"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5 667</w:t>
            </w:r>
          </w:p>
        </w:tc>
        <w:tc>
          <w:tcPr>
            <w:tcW w:w="2457" w:type="dxa"/>
            <w:vAlign w:val="center"/>
          </w:tcPr>
          <w:p w14:paraId="16C2004F"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6 622</w:t>
            </w:r>
          </w:p>
        </w:tc>
      </w:tr>
      <w:tr w:rsidR="001676E4" w:rsidRPr="0054713D" w14:paraId="484DF298" w14:textId="77777777" w:rsidTr="003D66E5">
        <w:trPr>
          <w:trHeight w:val="340"/>
          <w:jc w:val="center"/>
        </w:trPr>
        <w:tc>
          <w:tcPr>
            <w:tcW w:w="2112" w:type="dxa"/>
            <w:vAlign w:val="center"/>
          </w:tcPr>
          <w:p w14:paraId="2F52F774"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2020</w:t>
            </w:r>
          </w:p>
        </w:tc>
        <w:tc>
          <w:tcPr>
            <w:tcW w:w="2226" w:type="dxa"/>
            <w:vAlign w:val="center"/>
          </w:tcPr>
          <w:p w14:paraId="1CEBE3CD" w14:textId="278428B7" w:rsidR="001676E4" w:rsidRPr="0054713D" w:rsidRDefault="001676E4" w:rsidP="003D66E5">
            <w:pPr>
              <w:spacing w:after="0" w:line="240" w:lineRule="auto"/>
              <w:jc w:val="center"/>
              <w:rPr>
                <w:rFonts w:cs="Arial"/>
                <w:color w:val="000000"/>
                <w:sz w:val="20"/>
              </w:rPr>
            </w:pPr>
            <w:r w:rsidRPr="0054713D">
              <w:rPr>
                <w:rFonts w:cs="Arial"/>
                <w:color w:val="000000"/>
                <w:sz w:val="20"/>
              </w:rPr>
              <w:t>1</w:t>
            </w:r>
            <w:r w:rsidR="00067565">
              <w:rPr>
                <w:rFonts w:cs="Arial"/>
                <w:color w:val="000000"/>
                <w:sz w:val="20"/>
              </w:rPr>
              <w:t xml:space="preserve"> </w:t>
            </w:r>
            <w:r w:rsidRPr="0054713D">
              <w:rPr>
                <w:rFonts w:cs="Arial"/>
                <w:color w:val="000000"/>
                <w:sz w:val="20"/>
              </w:rPr>
              <w:t>047</w:t>
            </w:r>
          </w:p>
        </w:tc>
        <w:tc>
          <w:tcPr>
            <w:tcW w:w="2277" w:type="dxa"/>
            <w:vAlign w:val="center"/>
          </w:tcPr>
          <w:p w14:paraId="208EEDF7"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6 224</w:t>
            </w:r>
          </w:p>
        </w:tc>
        <w:tc>
          <w:tcPr>
            <w:tcW w:w="2457" w:type="dxa"/>
            <w:vAlign w:val="center"/>
          </w:tcPr>
          <w:p w14:paraId="264BE2F1" w14:textId="0ABA48B6" w:rsidR="001676E4" w:rsidRPr="0054713D" w:rsidRDefault="001676E4" w:rsidP="003D66E5">
            <w:pPr>
              <w:spacing w:after="0" w:line="240" w:lineRule="auto"/>
              <w:jc w:val="center"/>
              <w:rPr>
                <w:rFonts w:cs="Arial"/>
                <w:color w:val="000000"/>
                <w:sz w:val="20"/>
              </w:rPr>
            </w:pPr>
            <w:r w:rsidRPr="0054713D">
              <w:rPr>
                <w:rFonts w:cs="Arial"/>
                <w:color w:val="000000"/>
                <w:sz w:val="20"/>
              </w:rPr>
              <w:t>7</w:t>
            </w:r>
            <w:r w:rsidR="00067565">
              <w:rPr>
                <w:rFonts w:cs="Arial"/>
                <w:color w:val="000000"/>
                <w:sz w:val="20"/>
              </w:rPr>
              <w:t xml:space="preserve"> </w:t>
            </w:r>
            <w:r w:rsidRPr="0054713D">
              <w:rPr>
                <w:rFonts w:cs="Arial"/>
                <w:color w:val="000000"/>
                <w:sz w:val="20"/>
              </w:rPr>
              <w:t>271</w:t>
            </w:r>
          </w:p>
        </w:tc>
      </w:tr>
      <w:tr w:rsidR="001676E4" w:rsidRPr="0054713D" w14:paraId="78BEE7F7" w14:textId="77777777" w:rsidTr="003D66E5">
        <w:trPr>
          <w:trHeight w:val="340"/>
          <w:jc w:val="center"/>
        </w:trPr>
        <w:tc>
          <w:tcPr>
            <w:tcW w:w="2112" w:type="dxa"/>
            <w:vAlign w:val="center"/>
          </w:tcPr>
          <w:p w14:paraId="71609026"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2021</w:t>
            </w:r>
          </w:p>
        </w:tc>
        <w:tc>
          <w:tcPr>
            <w:tcW w:w="2226" w:type="dxa"/>
            <w:vAlign w:val="center"/>
          </w:tcPr>
          <w:p w14:paraId="20870754"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1 115</w:t>
            </w:r>
          </w:p>
        </w:tc>
        <w:tc>
          <w:tcPr>
            <w:tcW w:w="2277" w:type="dxa"/>
            <w:vAlign w:val="center"/>
          </w:tcPr>
          <w:p w14:paraId="7730EF5D"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6 532</w:t>
            </w:r>
          </w:p>
        </w:tc>
        <w:tc>
          <w:tcPr>
            <w:tcW w:w="2457" w:type="dxa"/>
            <w:vAlign w:val="center"/>
          </w:tcPr>
          <w:p w14:paraId="2B5BB86D"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7 647</w:t>
            </w:r>
          </w:p>
        </w:tc>
      </w:tr>
      <w:tr w:rsidR="001676E4" w:rsidRPr="0054713D" w14:paraId="2CA4B323" w14:textId="77777777" w:rsidTr="003D66E5">
        <w:trPr>
          <w:trHeight w:val="340"/>
          <w:jc w:val="center"/>
        </w:trPr>
        <w:tc>
          <w:tcPr>
            <w:tcW w:w="2112" w:type="dxa"/>
            <w:vAlign w:val="center"/>
          </w:tcPr>
          <w:p w14:paraId="4ED5DBAD"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2022</w:t>
            </w:r>
          </w:p>
        </w:tc>
        <w:tc>
          <w:tcPr>
            <w:tcW w:w="2226" w:type="dxa"/>
            <w:vAlign w:val="center"/>
          </w:tcPr>
          <w:p w14:paraId="7D5959E1"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799</w:t>
            </w:r>
          </w:p>
        </w:tc>
        <w:tc>
          <w:tcPr>
            <w:tcW w:w="2277" w:type="dxa"/>
            <w:vAlign w:val="center"/>
          </w:tcPr>
          <w:p w14:paraId="67DA0B5D" w14:textId="0A3ABEE7" w:rsidR="001676E4" w:rsidRPr="0054713D" w:rsidRDefault="001676E4" w:rsidP="003D66E5">
            <w:pPr>
              <w:spacing w:after="0" w:line="240" w:lineRule="auto"/>
              <w:jc w:val="center"/>
              <w:rPr>
                <w:rFonts w:cs="Arial"/>
                <w:color w:val="000000"/>
                <w:sz w:val="20"/>
              </w:rPr>
            </w:pPr>
            <w:r w:rsidRPr="0054713D">
              <w:rPr>
                <w:rFonts w:cs="Arial"/>
                <w:color w:val="000000"/>
                <w:sz w:val="20"/>
              </w:rPr>
              <w:t>3</w:t>
            </w:r>
            <w:r w:rsidR="00067565">
              <w:rPr>
                <w:rFonts w:cs="Arial"/>
                <w:color w:val="000000"/>
                <w:sz w:val="20"/>
              </w:rPr>
              <w:t xml:space="preserve"> </w:t>
            </w:r>
            <w:r w:rsidRPr="0054713D">
              <w:rPr>
                <w:rFonts w:cs="Arial"/>
                <w:color w:val="000000"/>
                <w:sz w:val="20"/>
              </w:rPr>
              <w:t>288</w:t>
            </w:r>
          </w:p>
        </w:tc>
        <w:tc>
          <w:tcPr>
            <w:tcW w:w="2457" w:type="dxa"/>
            <w:vAlign w:val="center"/>
          </w:tcPr>
          <w:p w14:paraId="32F2EE17" w14:textId="469D82D6" w:rsidR="001676E4" w:rsidRPr="0054713D" w:rsidRDefault="001676E4" w:rsidP="003D66E5">
            <w:pPr>
              <w:spacing w:after="0" w:line="240" w:lineRule="auto"/>
              <w:jc w:val="center"/>
              <w:rPr>
                <w:rFonts w:cs="Arial"/>
                <w:color w:val="000000"/>
                <w:sz w:val="20"/>
              </w:rPr>
            </w:pPr>
            <w:r w:rsidRPr="0054713D">
              <w:rPr>
                <w:rFonts w:cs="Arial"/>
                <w:color w:val="000000"/>
                <w:sz w:val="20"/>
              </w:rPr>
              <w:t>4</w:t>
            </w:r>
            <w:r w:rsidR="00067565">
              <w:rPr>
                <w:rFonts w:cs="Arial"/>
                <w:color w:val="000000"/>
                <w:sz w:val="20"/>
              </w:rPr>
              <w:t xml:space="preserve"> </w:t>
            </w:r>
            <w:r w:rsidRPr="0054713D">
              <w:rPr>
                <w:rFonts w:cs="Arial"/>
                <w:color w:val="000000"/>
                <w:sz w:val="20"/>
              </w:rPr>
              <w:t>087</w:t>
            </w:r>
          </w:p>
        </w:tc>
      </w:tr>
      <w:tr w:rsidR="001676E4" w:rsidRPr="0054713D" w14:paraId="0831ED1A" w14:textId="77777777" w:rsidTr="003D66E5">
        <w:trPr>
          <w:trHeight w:val="340"/>
          <w:jc w:val="center"/>
        </w:trPr>
        <w:tc>
          <w:tcPr>
            <w:tcW w:w="2112" w:type="dxa"/>
            <w:vAlign w:val="center"/>
          </w:tcPr>
          <w:p w14:paraId="457903D5"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2023</w:t>
            </w:r>
          </w:p>
        </w:tc>
        <w:tc>
          <w:tcPr>
            <w:tcW w:w="2226" w:type="dxa"/>
            <w:vAlign w:val="center"/>
          </w:tcPr>
          <w:p w14:paraId="4E94CC1C"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735</w:t>
            </w:r>
          </w:p>
        </w:tc>
        <w:tc>
          <w:tcPr>
            <w:tcW w:w="2277" w:type="dxa"/>
            <w:vAlign w:val="center"/>
          </w:tcPr>
          <w:p w14:paraId="3D671DD2" w14:textId="5F9A66D5" w:rsidR="001676E4" w:rsidRPr="0054713D" w:rsidRDefault="001676E4" w:rsidP="003D66E5">
            <w:pPr>
              <w:spacing w:after="0" w:line="240" w:lineRule="auto"/>
              <w:jc w:val="center"/>
              <w:rPr>
                <w:rFonts w:cs="Arial"/>
                <w:color w:val="000000"/>
                <w:sz w:val="20"/>
              </w:rPr>
            </w:pPr>
            <w:r w:rsidRPr="0054713D">
              <w:rPr>
                <w:rFonts w:cs="Arial"/>
                <w:color w:val="000000"/>
                <w:sz w:val="20"/>
              </w:rPr>
              <w:t>2</w:t>
            </w:r>
            <w:r w:rsidR="00067565">
              <w:rPr>
                <w:rFonts w:cs="Arial"/>
                <w:color w:val="000000"/>
                <w:sz w:val="20"/>
              </w:rPr>
              <w:t xml:space="preserve"> </w:t>
            </w:r>
            <w:r w:rsidRPr="0054713D">
              <w:rPr>
                <w:rFonts w:cs="Arial"/>
                <w:color w:val="000000"/>
                <w:sz w:val="20"/>
              </w:rPr>
              <w:t>687</w:t>
            </w:r>
          </w:p>
        </w:tc>
        <w:tc>
          <w:tcPr>
            <w:tcW w:w="2457" w:type="dxa"/>
            <w:vAlign w:val="center"/>
          </w:tcPr>
          <w:p w14:paraId="37EFDE5A" w14:textId="23B11EC4" w:rsidR="001676E4" w:rsidRPr="0054713D" w:rsidRDefault="001676E4" w:rsidP="003D66E5">
            <w:pPr>
              <w:spacing w:after="0" w:line="240" w:lineRule="auto"/>
              <w:jc w:val="center"/>
              <w:rPr>
                <w:rFonts w:cs="Arial"/>
                <w:color w:val="000000"/>
                <w:sz w:val="20"/>
              </w:rPr>
            </w:pPr>
            <w:r w:rsidRPr="0054713D">
              <w:rPr>
                <w:rFonts w:cs="Arial"/>
                <w:color w:val="000000"/>
                <w:sz w:val="20"/>
              </w:rPr>
              <w:t>3</w:t>
            </w:r>
            <w:r w:rsidR="00067565">
              <w:rPr>
                <w:rFonts w:cs="Arial"/>
                <w:color w:val="000000"/>
                <w:sz w:val="20"/>
              </w:rPr>
              <w:t xml:space="preserve"> </w:t>
            </w:r>
            <w:r w:rsidRPr="0054713D">
              <w:rPr>
                <w:rFonts w:cs="Arial"/>
                <w:color w:val="000000"/>
                <w:sz w:val="20"/>
              </w:rPr>
              <w:t>422</w:t>
            </w:r>
          </w:p>
        </w:tc>
      </w:tr>
      <w:tr w:rsidR="001676E4" w:rsidRPr="0054713D" w14:paraId="4331EF27" w14:textId="77777777" w:rsidTr="003D66E5">
        <w:trPr>
          <w:trHeight w:val="340"/>
          <w:jc w:val="center"/>
        </w:trPr>
        <w:tc>
          <w:tcPr>
            <w:tcW w:w="2112" w:type="dxa"/>
            <w:vAlign w:val="center"/>
          </w:tcPr>
          <w:p w14:paraId="7E61C014" w14:textId="77777777" w:rsidR="001676E4" w:rsidRPr="0054713D" w:rsidRDefault="001676E4" w:rsidP="003D66E5">
            <w:pPr>
              <w:spacing w:after="0" w:line="240" w:lineRule="auto"/>
              <w:jc w:val="center"/>
              <w:rPr>
                <w:rFonts w:cs="Arial"/>
                <w:b/>
                <w:bCs/>
                <w:color w:val="000000"/>
                <w:sz w:val="20"/>
              </w:rPr>
            </w:pPr>
            <w:r w:rsidRPr="0054713D">
              <w:rPr>
                <w:rFonts w:cs="Arial"/>
                <w:b/>
                <w:bCs/>
                <w:color w:val="000000"/>
                <w:sz w:val="20"/>
              </w:rPr>
              <w:t>2024</w:t>
            </w:r>
          </w:p>
        </w:tc>
        <w:tc>
          <w:tcPr>
            <w:tcW w:w="2226" w:type="dxa"/>
            <w:vAlign w:val="center"/>
          </w:tcPr>
          <w:p w14:paraId="0712C3F8" w14:textId="77777777" w:rsidR="001676E4" w:rsidRPr="0054713D" w:rsidRDefault="001676E4" w:rsidP="003D66E5">
            <w:pPr>
              <w:spacing w:after="0" w:line="240" w:lineRule="auto"/>
              <w:jc w:val="center"/>
              <w:rPr>
                <w:rFonts w:cs="Arial"/>
                <w:color w:val="000000"/>
                <w:sz w:val="20"/>
              </w:rPr>
            </w:pPr>
            <w:r w:rsidRPr="0054713D">
              <w:rPr>
                <w:rFonts w:cs="Arial"/>
                <w:color w:val="000000"/>
                <w:sz w:val="20"/>
              </w:rPr>
              <w:t>791</w:t>
            </w:r>
          </w:p>
        </w:tc>
        <w:tc>
          <w:tcPr>
            <w:tcW w:w="2277" w:type="dxa"/>
            <w:vAlign w:val="center"/>
          </w:tcPr>
          <w:p w14:paraId="75F4A894" w14:textId="4167CFD9" w:rsidR="001676E4" w:rsidRPr="0054713D" w:rsidRDefault="001676E4" w:rsidP="003D66E5">
            <w:pPr>
              <w:spacing w:after="0" w:line="240" w:lineRule="auto"/>
              <w:jc w:val="center"/>
              <w:rPr>
                <w:rFonts w:cs="Arial"/>
                <w:color w:val="000000"/>
                <w:sz w:val="20"/>
              </w:rPr>
            </w:pPr>
            <w:r w:rsidRPr="0054713D">
              <w:rPr>
                <w:rFonts w:cs="Arial"/>
                <w:color w:val="000000"/>
                <w:sz w:val="20"/>
              </w:rPr>
              <w:t>2</w:t>
            </w:r>
            <w:r w:rsidR="00067565">
              <w:rPr>
                <w:rFonts w:cs="Arial"/>
                <w:color w:val="000000"/>
                <w:sz w:val="20"/>
              </w:rPr>
              <w:t xml:space="preserve"> </w:t>
            </w:r>
            <w:r w:rsidRPr="0054713D">
              <w:rPr>
                <w:rFonts w:cs="Arial"/>
                <w:color w:val="000000"/>
                <w:sz w:val="20"/>
              </w:rPr>
              <w:t>695</w:t>
            </w:r>
          </w:p>
        </w:tc>
        <w:tc>
          <w:tcPr>
            <w:tcW w:w="2457" w:type="dxa"/>
            <w:vAlign w:val="center"/>
          </w:tcPr>
          <w:p w14:paraId="45F42B67" w14:textId="5CF60291" w:rsidR="001676E4" w:rsidRPr="0054713D" w:rsidRDefault="001676E4" w:rsidP="003D66E5">
            <w:pPr>
              <w:spacing w:after="0" w:line="240" w:lineRule="auto"/>
              <w:jc w:val="center"/>
              <w:rPr>
                <w:rFonts w:cs="Arial"/>
                <w:color w:val="000000"/>
                <w:sz w:val="20"/>
              </w:rPr>
            </w:pPr>
            <w:r w:rsidRPr="0054713D">
              <w:rPr>
                <w:rFonts w:cs="Arial"/>
                <w:color w:val="000000"/>
                <w:sz w:val="20"/>
              </w:rPr>
              <w:t>3</w:t>
            </w:r>
            <w:r w:rsidR="00067565">
              <w:rPr>
                <w:rFonts w:cs="Arial"/>
                <w:color w:val="000000"/>
                <w:sz w:val="20"/>
              </w:rPr>
              <w:t xml:space="preserve"> </w:t>
            </w:r>
            <w:r w:rsidRPr="0054713D">
              <w:rPr>
                <w:rFonts w:cs="Arial"/>
                <w:color w:val="000000"/>
                <w:sz w:val="20"/>
              </w:rPr>
              <w:t>486</w:t>
            </w:r>
          </w:p>
        </w:tc>
      </w:tr>
    </w:tbl>
    <w:p w14:paraId="19D65644" w14:textId="77777777" w:rsidR="00EF0A89" w:rsidRPr="00EF0A89" w:rsidRDefault="00EF0A89" w:rsidP="00EF0A89">
      <w:pPr>
        <w:spacing w:after="0" w:line="240" w:lineRule="auto"/>
        <w:ind w:firstLine="709"/>
        <w:jc w:val="both"/>
        <w:rPr>
          <w:rFonts w:cs="Arial"/>
          <w:sz w:val="18"/>
          <w:szCs w:val="18"/>
        </w:rPr>
      </w:pPr>
      <w:r w:rsidRPr="00EF0A89">
        <w:rPr>
          <w:rFonts w:cs="Arial"/>
          <w:sz w:val="18"/>
          <w:szCs w:val="18"/>
        </w:rPr>
        <w:t>Źródło: Dane własne KGP w Lublinie</w:t>
      </w:r>
    </w:p>
    <w:p w14:paraId="6DB071BF" w14:textId="4A2DC35F" w:rsidR="001676E4" w:rsidRPr="00C635FB" w:rsidRDefault="001676E4" w:rsidP="001676E4">
      <w:pPr>
        <w:tabs>
          <w:tab w:val="left" w:pos="426"/>
        </w:tabs>
        <w:spacing w:before="240" w:line="360" w:lineRule="auto"/>
        <w:ind w:firstLine="425"/>
        <w:jc w:val="both"/>
        <w:rPr>
          <w:rFonts w:cs="Arial"/>
          <w:sz w:val="22"/>
          <w:szCs w:val="22"/>
        </w:rPr>
      </w:pPr>
      <w:r w:rsidRPr="00317DE2">
        <w:rPr>
          <w:rFonts w:cs="Arial"/>
          <w:sz w:val="22"/>
          <w:szCs w:val="22"/>
        </w:rPr>
        <w:t>Nadużywanie alkoholu zwiększa ryzyko wystąpienia przemocy stanowiąc jeden</w:t>
      </w:r>
      <w:r w:rsidRPr="00317DE2">
        <w:rPr>
          <w:rFonts w:cs="Arial"/>
          <w:sz w:val="22"/>
          <w:szCs w:val="22"/>
        </w:rPr>
        <w:br/>
        <w:t>z czynników ryzyka. Pod jego wpływem dochodzi do zmian nastroju, osłabienia koordynacji oraz zdolności podejmowania decyzji i zniesienia hamulców. Instytucjonalnym narzędziem służącym do przeciwdziałania przemocy domowej jest procedura "Niebieskie Karty". Analiza danych dotyczących realizacji tej procedury interwencyjnej służy oszacowaniu zjawiska przemocy domowej i wdrażaniu odpowiednich środków celem niwelowania ewentualnych zjawisk negatywnych, jakie mogą powstawać w tym obszarze.</w:t>
      </w:r>
    </w:p>
    <w:p w14:paraId="2508B0A3" w14:textId="1176FA73" w:rsidR="001676E4" w:rsidRPr="0054713D" w:rsidRDefault="001676E4" w:rsidP="001676E4">
      <w:pPr>
        <w:pStyle w:val="Legenda"/>
        <w:keepNext/>
        <w:rPr>
          <w:sz w:val="20"/>
          <w:szCs w:val="16"/>
        </w:rPr>
      </w:pPr>
      <w:bookmarkStart w:id="59" w:name="_Toc214279698"/>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13</w:t>
      </w:r>
      <w:r w:rsidRPr="0054713D">
        <w:rPr>
          <w:sz w:val="20"/>
          <w:szCs w:val="16"/>
        </w:rPr>
        <w:fldChar w:fldCharType="end"/>
      </w:r>
      <w:r w:rsidRPr="0054713D">
        <w:rPr>
          <w:sz w:val="20"/>
          <w:szCs w:val="16"/>
        </w:rPr>
        <w:t>. Liczba formularzy „Niebieska Karta – A” wypełnionych przez Policję w latach 2018-2024 w Polsce i w garnizonie lubelskim</w:t>
      </w:r>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
        <w:gridCol w:w="3833"/>
        <w:gridCol w:w="4381"/>
      </w:tblGrid>
      <w:tr w:rsidR="001676E4" w:rsidRPr="0054713D" w14:paraId="4973B51A" w14:textId="77777777" w:rsidTr="003D66E5">
        <w:trPr>
          <w:trHeight w:val="344"/>
          <w:tblHeader/>
        </w:trPr>
        <w:tc>
          <w:tcPr>
            <w:tcW w:w="858" w:type="dxa"/>
          </w:tcPr>
          <w:p w14:paraId="596D279E"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Rok</w:t>
            </w:r>
          </w:p>
        </w:tc>
        <w:tc>
          <w:tcPr>
            <w:tcW w:w="3833" w:type="dxa"/>
          </w:tcPr>
          <w:p w14:paraId="4B95C066"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Dane krajowe</w:t>
            </w:r>
          </w:p>
        </w:tc>
        <w:tc>
          <w:tcPr>
            <w:tcW w:w="4381" w:type="dxa"/>
          </w:tcPr>
          <w:p w14:paraId="4B02E764"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Województwo lubelskie</w:t>
            </w:r>
          </w:p>
        </w:tc>
      </w:tr>
      <w:tr w:rsidR="001676E4" w:rsidRPr="0054713D" w14:paraId="4245DD65" w14:textId="77777777" w:rsidTr="003D66E5">
        <w:trPr>
          <w:trHeight w:val="317"/>
        </w:trPr>
        <w:tc>
          <w:tcPr>
            <w:tcW w:w="858" w:type="dxa"/>
            <w:vAlign w:val="center"/>
          </w:tcPr>
          <w:p w14:paraId="76F7951D"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2018</w:t>
            </w:r>
          </w:p>
        </w:tc>
        <w:tc>
          <w:tcPr>
            <w:tcW w:w="3833" w:type="dxa"/>
            <w:vAlign w:val="center"/>
          </w:tcPr>
          <w:p w14:paraId="13205E3E" w14:textId="77777777" w:rsidR="001676E4" w:rsidRPr="0054713D" w:rsidRDefault="001676E4" w:rsidP="003D66E5">
            <w:pPr>
              <w:spacing w:after="0" w:line="240" w:lineRule="auto"/>
              <w:jc w:val="center"/>
              <w:rPr>
                <w:rFonts w:cs="Arial"/>
                <w:sz w:val="18"/>
                <w:szCs w:val="18"/>
              </w:rPr>
            </w:pPr>
            <w:r w:rsidRPr="0054713D">
              <w:rPr>
                <w:rFonts w:cs="Arial"/>
                <w:sz w:val="18"/>
                <w:szCs w:val="18"/>
              </w:rPr>
              <w:t>73 153</w:t>
            </w:r>
          </w:p>
        </w:tc>
        <w:tc>
          <w:tcPr>
            <w:tcW w:w="4381" w:type="dxa"/>
            <w:vAlign w:val="center"/>
          </w:tcPr>
          <w:p w14:paraId="5BCC28CB" w14:textId="77777777" w:rsidR="001676E4" w:rsidRPr="0054713D" w:rsidRDefault="001676E4" w:rsidP="003D66E5">
            <w:pPr>
              <w:spacing w:after="0" w:line="240" w:lineRule="auto"/>
              <w:jc w:val="center"/>
              <w:rPr>
                <w:rFonts w:cs="Arial"/>
                <w:sz w:val="18"/>
                <w:szCs w:val="18"/>
              </w:rPr>
            </w:pPr>
            <w:r w:rsidRPr="0054713D">
              <w:rPr>
                <w:rFonts w:cs="Arial"/>
                <w:sz w:val="18"/>
                <w:szCs w:val="18"/>
              </w:rPr>
              <w:t>7 259</w:t>
            </w:r>
          </w:p>
        </w:tc>
      </w:tr>
      <w:tr w:rsidR="001676E4" w:rsidRPr="0054713D" w14:paraId="555A0304" w14:textId="77777777" w:rsidTr="003D66E5">
        <w:trPr>
          <w:trHeight w:val="337"/>
        </w:trPr>
        <w:tc>
          <w:tcPr>
            <w:tcW w:w="858" w:type="dxa"/>
            <w:vAlign w:val="center"/>
          </w:tcPr>
          <w:p w14:paraId="0D4B49E1"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2019</w:t>
            </w:r>
          </w:p>
        </w:tc>
        <w:tc>
          <w:tcPr>
            <w:tcW w:w="3833" w:type="dxa"/>
            <w:vAlign w:val="center"/>
          </w:tcPr>
          <w:p w14:paraId="1C5DFC94" w14:textId="77777777" w:rsidR="001676E4" w:rsidRPr="0054713D" w:rsidRDefault="001676E4" w:rsidP="003D66E5">
            <w:pPr>
              <w:spacing w:after="0" w:line="240" w:lineRule="auto"/>
              <w:jc w:val="center"/>
              <w:rPr>
                <w:rFonts w:cs="Arial"/>
                <w:sz w:val="18"/>
                <w:szCs w:val="18"/>
              </w:rPr>
            </w:pPr>
            <w:r w:rsidRPr="0054713D">
              <w:rPr>
                <w:rFonts w:cs="Arial"/>
                <w:sz w:val="18"/>
                <w:szCs w:val="18"/>
              </w:rPr>
              <w:t>74 313</w:t>
            </w:r>
          </w:p>
        </w:tc>
        <w:tc>
          <w:tcPr>
            <w:tcW w:w="4381" w:type="dxa"/>
            <w:vAlign w:val="center"/>
          </w:tcPr>
          <w:p w14:paraId="5CAF8A50" w14:textId="77777777" w:rsidR="001676E4" w:rsidRPr="0054713D" w:rsidRDefault="001676E4" w:rsidP="003D66E5">
            <w:pPr>
              <w:spacing w:after="0" w:line="240" w:lineRule="auto"/>
              <w:jc w:val="center"/>
              <w:rPr>
                <w:rFonts w:cs="Arial"/>
                <w:sz w:val="18"/>
                <w:szCs w:val="18"/>
              </w:rPr>
            </w:pPr>
            <w:r w:rsidRPr="0054713D">
              <w:rPr>
                <w:rFonts w:cs="Arial"/>
                <w:sz w:val="18"/>
                <w:szCs w:val="18"/>
              </w:rPr>
              <w:t>6 505</w:t>
            </w:r>
          </w:p>
        </w:tc>
      </w:tr>
      <w:tr w:rsidR="001676E4" w:rsidRPr="0054713D" w14:paraId="391F071A" w14:textId="77777777" w:rsidTr="003D66E5">
        <w:trPr>
          <w:trHeight w:val="337"/>
        </w:trPr>
        <w:tc>
          <w:tcPr>
            <w:tcW w:w="858" w:type="dxa"/>
            <w:vAlign w:val="center"/>
          </w:tcPr>
          <w:p w14:paraId="79329621"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2020</w:t>
            </w:r>
          </w:p>
        </w:tc>
        <w:tc>
          <w:tcPr>
            <w:tcW w:w="3833" w:type="dxa"/>
            <w:vAlign w:val="center"/>
          </w:tcPr>
          <w:p w14:paraId="24B65C7D" w14:textId="77777777" w:rsidR="001676E4" w:rsidRPr="0054713D" w:rsidRDefault="001676E4" w:rsidP="003D66E5">
            <w:pPr>
              <w:spacing w:after="0" w:line="240" w:lineRule="auto"/>
              <w:jc w:val="center"/>
              <w:rPr>
                <w:rFonts w:cs="Arial"/>
                <w:sz w:val="18"/>
                <w:szCs w:val="18"/>
              </w:rPr>
            </w:pPr>
            <w:r w:rsidRPr="0054713D">
              <w:rPr>
                <w:rFonts w:cs="Arial"/>
                <w:sz w:val="18"/>
                <w:szCs w:val="18"/>
              </w:rPr>
              <w:t>72 601</w:t>
            </w:r>
          </w:p>
        </w:tc>
        <w:tc>
          <w:tcPr>
            <w:tcW w:w="4381" w:type="dxa"/>
            <w:vAlign w:val="center"/>
          </w:tcPr>
          <w:p w14:paraId="0306DB7D" w14:textId="77777777" w:rsidR="001676E4" w:rsidRPr="0054713D" w:rsidRDefault="001676E4" w:rsidP="003D66E5">
            <w:pPr>
              <w:spacing w:after="0" w:line="240" w:lineRule="auto"/>
              <w:jc w:val="center"/>
              <w:rPr>
                <w:rFonts w:cs="Arial"/>
                <w:sz w:val="18"/>
                <w:szCs w:val="18"/>
              </w:rPr>
            </w:pPr>
            <w:r w:rsidRPr="0054713D">
              <w:rPr>
                <w:rFonts w:cs="Arial"/>
                <w:sz w:val="18"/>
                <w:szCs w:val="18"/>
              </w:rPr>
              <w:t>4 815</w:t>
            </w:r>
          </w:p>
        </w:tc>
      </w:tr>
      <w:tr w:rsidR="001676E4" w:rsidRPr="0054713D" w14:paraId="1E6340B7" w14:textId="77777777" w:rsidTr="003D66E5">
        <w:trPr>
          <w:trHeight w:val="337"/>
        </w:trPr>
        <w:tc>
          <w:tcPr>
            <w:tcW w:w="858" w:type="dxa"/>
            <w:vAlign w:val="center"/>
          </w:tcPr>
          <w:p w14:paraId="76604F3B"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2021</w:t>
            </w:r>
          </w:p>
        </w:tc>
        <w:tc>
          <w:tcPr>
            <w:tcW w:w="3833" w:type="dxa"/>
            <w:vAlign w:val="center"/>
          </w:tcPr>
          <w:p w14:paraId="67CC72A8" w14:textId="77777777" w:rsidR="001676E4" w:rsidRPr="0054713D" w:rsidRDefault="001676E4" w:rsidP="003D66E5">
            <w:pPr>
              <w:spacing w:after="0" w:line="240" w:lineRule="auto"/>
              <w:jc w:val="center"/>
              <w:rPr>
                <w:rFonts w:cs="Arial"/>
                <w:sz w:val="18"/>
                <w:szCs w:val="18"/>
              </w:rPr>
            </w:pPr>
            <w:r w:rsidRPr="0054713D">
              <w:rPr>
                <w:rFonts w:cs="Arial"/>
                <w:sz w:val="18"/>
                <w:szCs w:val="18"/>
              </w:rPr>
              <w:t>64 250</w:t>
            </w:r>
          </w:p>
        </w:tc>
        <w:tc>
          <w:tcPr>
            <w:tcW w:w="4381" w:type="dxa"/>
            <w:vAlign w:val="center"/>
          </w:tcPr>
          <w:p w14:paraId="29578A59" w14:textId="77777777" w:rsidR="001676E4" w:rsidRPr="0054713D" w:rsidRDefault="001676E4" w:rsidP="003D66E5">
            <w:pPr>
              <w:spacing w:after="0" w:line="240" w:lineRule="auto"/>
              <w:jc w:val="center"/>
              <w:rPr>
                <w:rFonts w:cs="Arial"/>
                <w:sz w:val="18"/>
                <w:szCs w:val="18"/>
              </w:rPr>
            </w:pPr>
            <w:r w:rsidRPr="0054713D">
              <w:rPr>
                <w:rFonts w:cs="Arial"/>
                <w:sz w:val="18"/>
                <w:szCs w:val="18"/>
              </w:rPr>
              <w:t>3 778</w:t>
            </w:r>
          </w:p>
        </w:tc>
      </w:tr>
      <w:tr w:rsidR="001676E4" w:rsidRPr="0054713D" w14:paraId="589613A4" w14:textId="77777777" w:rsidTr="003D66E5">
        <w:trPr>
          <w:trHeight w:val="337"/>
        </w:trPr>
        <w:tc>
          <w:tcPr>
            <w:tcW w:w="858" w:type="dxa"/>
            <w:vAlign w:val="center"/>
          </w:tcPr>
          <w:p w14:paraId="60B671CA"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2022</w:t>
            </w:r>
          </w:p>
        </w:tc>
        <w:tc>
          <w:tcPr>
            <w:tcW w:w="3833" w:type="dxa"/>
            <w:vAlign w:val="center"/>
          </w:tcPr>
          <w:p w14:paraId="52382CE5" w14:textId="77777777" w:rsidR="001676E4" w:rsidRPr="0054713D" w:rsidRDefault="001676E4" w:rsidP="003D66E5">
            <w:pPr>
              <w:spacing w:after="0" w:line="240" w:lineRule="auto"/>
              <w:jc w:val="center"/>
              <w:rPr>
                <w:rFonts w:cs="Arial"/>
                <w:sz w:val="18"/>
                <w:szCs w:val="18"/>
              </w:rPr>
            </w:pPr>
            <w:r w:rsidRPr="0054713D">
              <w:rPr>
                <w:rFonts w:cs="Arial"/>
                <w:sz w:val="18"/>
                <w:szCs w:val="18"/>
              </w:rPr>
              <w:t>61 645</w:t>
            </w:r>
          </w:p>
        </w:tc>
        <w:tc>
          <w:tcPr>
            <w:tcW w:w="4381" w:type="dxa"/>
            <w:vAlign w:val="center"/>
          </w:tcPr>
          <w:p w14:paraId="501F3737" w14:textId="64CD6BCF" w:rsidR="001676E4" w:rsidRPr="0054713D" w:rsidRDefault="001676E4" w:rsidP="003D66E5">
            <w:pPr>
              <w:spacing w:after="0" w:line="240" w:lineRule="auto"/>
              <w:jc w:val="center"/>
              <w:rPr>
                <w:rFonts w:cs="Arial"/>
                <w:sz w:val="18"/>
                <w:szCs w:val="18"/>
              </w:rPr>
            </w:pPr>
            <w:r w:rsidRPr="0054713D">
              <w:rPr>
                <w:rFonts w:cs="Arial"/>
                <w:sz w:val="18"/>
                <w:szCs w:val="18"/>
              </w:rPr>
              <w:t>3</w:t>
            </w:r>
            <w:r w:rsidR="00067565">
              <w:rPr>
                <w:rFonts w:cs="Arial"/>
                <w:sz w:val="18"/>
                <w:szCs w:val="18"/>
              </w:rPr>
              <w:t xml:space="preserve"> </w:t>
            </w:r>
            <w:r w:rsidRPr="0054713D">
              <w:rPr>
                <w:rFonts w:cs="Arial"/>
                <w:sz w:val="18"/>
                <w:szCs w:val="18"/>
              </w:rPr>
              <w:t>450</w:t>
            </w:r>
          </w:p>
        </w:tc>
      </w:tr>
      <w:tr w:rsidR="001676E4" w:rsidRPr="0054713D" w14:paraId="10956B35" w14:textId="77777777" w:rsidTr="003D66E5">
        <w:trPr>
          <w:trHeight w:val="337"/>
        </w:trPr>
        <w:tc>
          <w:tcPr>
            <w:tcW w:w="858" w:type="dxa"/>
            <w:vAlign w:val="center"/>
          </w:tcPr>
          <w:p w14:paraId="107C728B"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2023</w:t>
            </w:r>
          </w:p>
        </w:tc>
        <w:tc>
          <w:tcPr>
            <w:tcW w:w="3833" w:type="dxa"/>
            <w:vAlign w:val="center"/>
          </w:tcPr>
          <w:p w14:paraId="1142EA8F" w14:textId="77777777" w:rsidR="001676E4" w:rsidRPr="0054713D" w:rsidRDefault="001676E4" w:rsidP="003D66E5">
            <w:pPr>
              <w:spacing w:after="0" w:line="240" w:lineRule="auto"/>
              <w:jc w:val="center"/>
              <w:rPr>
                <w:rFonts w:cs="Arial"/>
                <w:sz w:val="18"/>
                <w:szCs w:val="18"/>
              </w:rPr>
            </w:pPr>
            <w:r w:rsidRPr="0054713D">
              <w:rPr>
                <w:rFonts w:cs="Arial"/>
                <w:sz w:val="18"/>
                <w:szCs w:val="18"/>
              </w:rPr>
              <w:t>62 170</w:t>
            </w:r>
          </w:p>
        </w:tc>
        <w:tc>
          <w:tcPr>
            <w:tcW w:w="4381" w:type="dxa"/>
            <w:vAlign w:val="center"/>
          </w:tcPr>
          <w:p w14:paraId="4F2D1BEE" w14:textId="37ADDD0F" w:rsidR="001676E4" w:rsidRPr="0054713D" w:rsidRDefault="001676E4" w:rsidP="003D66E5">
            <w:pPr>
              <w:spacing w:after="0" w:line="240" w:lineRule="auto"/>
              <w:jc w:val="center"/>
              <w:rPr>
                <w:rFonts w:cs="Arial"/>
                <w:sz w:val="18"/>
                <w:szCs w:val="18"/>
              </w:rPr>
            </w:pPr>
            <w:r w:rsidRPr="0054713D">
              <w:rPr>
                <w:rFonts w:cs="Arial"/>
                <w:sz w:val="18"/>
                <w:szCs w:val="18"/>
              </w:rPr>
              <w:t>3</w:t>
            </w:r>
            <w:r w:rsidR="00067565">
              <w:rPr>
                <w:rFonts w:cs="Arial"/>
                <w:sz w:val="18"/>
                <w:szCs w:val="18"/>
              </w:rPr>
              <w:t xml:space="preserve"> </w:t>
            </w:r>
            <w:r w:rsidRPr="0054713D">
              <w:rPr>
                <w:rFonts w:cs="Arial"/>
                <w:sz w:val="18"/>
                <w:szCs w:val="18"/>
              </w:rPr>
              <w:t>279</w:t>
            </w:r>
          </w:p>
        </w:tc>
      </w:tr>
      <w:tr w:rsidR="001676E4" w:rsidRPr="0054713D" w14:paraId="494DAA45" w14:textId="77777777" w:rsidTr="003D66E5">
        <w:trPr>
          <w:trHeight w:val="337"/>
        </w:trPr>
        <w:tc>
          <w:tcPr>
            <w:tcW w:w="858" w:type="dxa"/>
            <w:vAlign w:val="center"/>
          </w:tcPr>
          <w:p w14:paraId="4F3E7964" w14:textId="77777777" w:rsidR="001676E4" w:rsidRPr="0054713D" w:rsidRDefault="001676E4" w:rsidP="003D66E5">
            <w:pPr>
              <w:spacing w:after="0" w:line="240" w:lineRule="auto"/>
              <w:jc w:val="center"/>
              <w:rPr>
                <w:rFonts w:cs="Arial"/>
                <w:b/>
                <w:sz w:val="18"/>
                <w:szCs w:val="18"/>
              </w:rPr>
            </w:pPr>
            <w:r w:rsidRPr="0054713D">
              <w:rPr>
                <w:rFonts w:cs="Arial"/>
                <w:b/>
                <w:sz w:val="18"/>
                <w:szCs w:val="18"/>
              </w:rPr>
              <w:t>2024</w:t>
            </w:r>
          </w:p>
        </w:tc>
        <w:tc>
          <w:tcPr>
            <w:tcW w:w="3833" w:type="dxa"/>
            <w:vAlign w:val="center"/>
          </w:tcPr>
          <w:p w14:paraId="2AC3C074" w14:textId="77777777" w:rsidR="001676E4" w:rsidRPr="0054713D" w:rsidRDefault="001676E4" w:rsidP="003D66E5">
            <w:pPr>
              <w:spacing w:after="0" w:line="240" w:lineRule="auto"/>
              <w:jc w:val="center"/>
              <w:rPr>
                <w:rFonts w:cs="Arial"/>
                <w:sz w:val="18"/>
                <w:szCs w:val="18"/>
              </w:rPr>
            </w:pPr>
            <w:r w:rsidRPr="0054713D">
              <w:rPr>
                <w:rFonts w:cs="Arial"/>
                <w:sz w:val="18"/>
                <w:szCs w:val="18"/>
              </w:rPr>
              <w:t>59 174</w:t>
            </w:r>
          </w:p>
        </w:tc>
        <w:tc>
          <w:tcPr>
            <w:tcW w:w="4381" w:type="dxa"/>
            <w:vAlign w:val="center"/>
          </w:tcPr>
          <w:p w14:paraId="32BAF4CA" w14:textId="240661C4" w:rsidR="001676E4" w:rsidRPr="0054713D" w:rsidRDefault="001676E4" w:rsidP="003D66E5">
            <w:pPr>
              <w:spacing w:after="0" w:line="240" w:lineRule="auto"/>
              <w:jc w:val="center"/>
              <w:rPr>
                <w:rFonts w:cs="Arial"/>
                <w:sz w:val="18"/>
                <w:szCs w:val="18"/>
              </w:rPr>
            </w:pPr>
            <w:r w:rsidRPr="0054713D">
              <w:rPr>
                <w:rFonts w:cs="Arial"/>
                <w:sz w:val="18"/>
                <w:szCs w:val="18"/>
              </w:rPr>
              <w:t>3</w:t>
            </w:r>
            <w:r w:rsidR="00067565">
              <w:rPr>
                <w:rFonts w:cs="Arial"/>
                <w:sz w:val="18"/>
                <w:szCs w:val="18"/>
              </w:rPr>
              <w:t xml:space="preserve"> </w:t>
            </w:r>
            <w:r w:rsidRPr="0054713D">
              <w:rPr>
                <w:rFonts w:cs="Arial"/>
                <w:sz w:val="18"/>
                <w:szCs w:val="18"/>
              </w:rPr>
              <w:t>155</w:t>
            </w:r>
          </w:p>
        </w:tc>
      </w:tr>
    </w:tbl>
    <w:p w14:paraId="4389FE72" w14:textId="7443805C" w:rsidR="001676E4" w:rsidRPr="004B3E03" w:rsidRDefault="001676E4" w:rsidP="001676E4">
      <w:pPr>
        <w:tabs>
          <w:tab w:val="left" w:pos="426"/>
          <w:tab w:val="left" w:pos="7938"/>
        </w:tabs>
        <w:spacing w:after="240" w:line="240" w:lineRule="auto"/>
        <w:jc w:val="both"/>
        <w:rPr>
          <w:rFonts w:cs="Arial"/>
          <w:sz w:val="16"/>
          <w:szCs w:val="16"/>
        </w:rPr>
      </w:pPr>
      <w:r w:rsidRPr="004B3E03">
        <w:rPr>
          <w:rFonts w:cs="Arial"/>
          <w:sz w:val="16"/>
          <w:szCs w:val="16"/>
        </w:rPr>
        <w:t xml:space="preserve">Źródło: Opracowanie własne na podstawie Informacji dotyczącej realizacji przez jednostki organizacyjne Policji procedury „Niebieskie Karty” oraz inicjatyw podejmowanych w obszarze przeciwdziałania przemocy </w:t>
      </w:r>
      <w:r>
        <w:rPr>
          <w:rFonts w:cs="Arial"/>
          <w:sz w:val="16"/>
          <w:szCs w:val="16"/>
        </w:rPr>
        <w:t>domowej</w:t>
      </w:r>
      <w:r w:rsidRPr="004B3E03">
        <w:rPr>
          <w:rFonts w:cs="Arial"/>
          <w:sz w:val="16"/>
          <w:szCs w:val="16"/>
        </w:rPr>
        <w:t>, Komenda Główna Policji</w:t>
      </w:r>
      <w:r w:rsidR="00536E9E">
        <w:rPr>
          <w:rFonts w:cs="Arial"/>
          <w:sz w:val="16"/>
          <w:szCs w:val="16"/>
        </w:rPr>
        <w:t xml:space="preserve"> w Lublinie</w:t>
      </w:r>
    </w:p>
    <w:p w14:paraId="1FF32C0A" w14:textId="23E16376" w:rsidR="001676E4" w:rsidRPr="00317DE2" w:rsidRDefault="001676E4" w:rsidP="001676E4">
      <w:pPr>
        <w:spacing w:line="360" w:lineRule="auto"/>
        <w:ind w:firstLine="425"/>
        <w:jc w:val="both"/>
        <w:rPr>
          <w:rFonts w:cs="Arial"/>
          <w:sz w:val="22"/>
          <w:szCs w:val="22"/>
        </w:rPr>
      </w:pPr>
      <w:r w:rsidRPr="00317DE2">
        <w:rPr>
          <w:rFonts w:cs="Arial"/>
          <w:sz w:val="22"/>
          <w:szCs w:val="22"/>
        </w:rPr>
        <w:t xml:space="preserve">Na podstawie zarejestrowanych zdarzeń można stwierdzić, że w województwie lubelskim przemoc domowa jest ważnym problemem społecznym i w obrazie statystycznym zjawisko to </w:t>
      </w:r>
      <w:r w:rsidRPr="00317DE2">
        <w:rPr>
          <w:rFonts w:cs="Arial"/>
          <w:sz w:val="22"/>
          <w:szCs w:val="22"/>
        </w:rPr>
        <w:lastRenderedPageBreak/>
        <w:t>miało tendencję malejącą</w:t>
      </w:r>
      <w:r w:rsidR="00067565">
        <w:rPr>
          <w:rFonts w:cs="Arial"/>
          <w:sz w:val="22"/>
          <w:szCs w:val="22"/>
        </w:rPr>
        <w:t>,</w:t>
      </w:r>
      <w:r w:rsidRPr="00317DE2">
        <w:rPr>
          <w:rFonts w:cs="Arial"/>
          <w:sz w:val="22"/>
          <w:szCs w:val="22"/>
        </w:rPr>
        <w:t xml:space="preserve"> o czym świadczy odnotowany spadek liczby wypełnionych formularzy „Niebieska Karta – A” przez funkcjonariuszy Policji. </w:t>
      </w:r>
    </w:p>
    <w:p w14:paraId="4EED4031" w14:textId="1E778536" w:rsidR="001676E4" w:rsidRPr="0054713D" w:rsidRDefault="001676E4" w:rsidP="001676E4">
      <w:pPr>
        <w:pStyle w:val="Legenda"/>
        <w:keepNext/>
        <w:rPr>
          <w:sz w:val="20"/>
          <w:szCs w:val="16"/>
        </w:rPr>
      </w:pPr>
      <w:bookmarkStart w:id="60" w:name="_Toc214279699"/>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14</w:t>
      </w:r>
      <w:r w:rsidRPr="0054713D">
        <w:rPr>
          <w:sz w:val="20"/>
          <w:szCs w:val="16"/>
        </w:rPr>
        <w:fldChar w:fldCharType="end"/>
      </w:r>
      <w:r w:rsidRPr="0054713D">
        <w:rPr>
          <w:sz w:val="20"/>
          <w:szCs w:val="16"/>
        </w:rPr>
        <w:t>. Udział osób wobec których istnieje podejrzenie, że stosują przemoc domową znajdujących się pod wpływem alkoholu, w województwie lubelskim w latach 2018-2024.</w:t>
      </w:r>
      <w:bookmarkEnd w:id="60"/>
    </w:p>
    <w:tbl>
      <w:tblPr>
        <w:tblStyle w:val="Tabela-Siatka"/>
        <w:tblW w:w="9214" w:type="dxa"/>
        <w:tblInd w:w="108" w:type="dxa"/>
        <w:tblLook w:val="04A0" w:firstRow="1" w:lastRow="0" w:firstColumn="1" w:lastColumn="0" w:noHBand="0" w:noVBand="1"/>
      </w:tblPr>
      <w:tblGrid>
        <w:gridCol w:w="779"/>
        <w:gridCol w:w="2765"/>
        <w:gridCol w:w="2835"/>
        <w:gridCol w:w="2835"/>
      </w:tblGrid>
      <w:tr w:rsidR="001676E4" w:rsidRPr="0054713D" w14:paraId="27EB227D" w14:textId="77777777" w:rsidTr="003D66E5">
        <w:trPr>
          <w:tblHeader/>
        </w:trPr>
        <w:tc>
          <w:tcPr>
            <w:tcW w:w="779" w:type="dxa"/>
          </w:tcPr>
          <w:p w14:paraId="7EC4795B"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Lata</w:t>
            </w:r>
          </w:p>
        </w:tc>
        <w:tc>
          <w:tcPr>
            <w:tcW w:w="2765" w:type="dxa"/>
          </w:tcPr>
          <w:p w14:paraId="527084EE"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 xml:space="preserve">Liczba osób, wobec których istnieje podejrzenie, że </w:t>
            </w:r>
            <w:r w:rsidRPr="0054713D">
              <w:rPr>
                <w:rFonts w:cs="Arial"/>
                <w:b/>
                <w:bCs/>
                <w:sz w:val="20"/>
              </w:rPr>
              <w:t>stosują przemoc domową</w:t>
            </w:r>
          </w:p>
        </w:tc>
        <w:tc>
          <w:tcPr>
            <w:tcW w:w="2835" w:type="dxa"/>
          </w:tcPr>
          <w:p w14:paraId="41A87574"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 xml:space="preserve">Liczba osób wobec których istnieje podejrzenie, że </w:t>
            </w:r>
            <w:r w:rsidRPr="0054713D">
              <w:rPr>
                <w:rFonts w:cs="Arial"/>
                <w:b/>
                <w:bCs/>
                <w:sz w:val="20"/>
              </w:rPr>
              <w:t>stosują przemoc</w:t>
            </w:r>
            <w:r w:rsidRPr="0054713D">
              <w:rPr>
                <w:rFonts w:cs="Arial"/>
                <w:b/>
                <w:bCs/>
                <w:sz w:val="20"/>
              </w:rPr>
              <w:br/>
              <w:t>domową znajdujących się pod wpływem alkoholu</w:t>
            </w:r>
          </w:p>
        </w:tc>
        <w:tc>
          <w:tcPr>
            <w:tcW w:w="2835" w:type="dxa"/>
          </w:tcPr>
          <w:p w14:paraId="76AEB88E"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b/>
                <w:bCs/>
                <w:sz w:val="20"/>
              </w:rPr>
              <w:t>% udział osób</w:t>
            </w:r>
            <w:r w:rsidRPr="0054713D">
              <w:rPr>
                <w:rFonts w:cs="Arial"/>
                <w:sz w:val="20"/>
              </w:rPr>
              <w:t xml:space="preserve"> wobec których istnieje podejrzenie, że </w:t>
            </w:r>
            <w:r w:rsidRPr="0054713D">
              <w:rPr>
                <w:rFonts w:cs="Arial"/>
                <w:b/>
                <w:bCs/>
                <w:sz w:val="20"/>
              </w:rPr>
              <w:t>stosują przemoc</w:t>
            </w:r>
            <w:r w:rsidRPr="0054713D">
              <w:rPr>
                <w:rFonts w:cs="Arial"/>
                <w:b/>
                <w:bCs/>
                <w:sz w:val="20"/>
              </w:rPr>
              <w:br/>
              <w:t>domową znajdujących się pod wpływem alkoholu</w:t>
            </w:r>
            <w:r w:rsidRPr="0054713D">
              <w:rPr>
                <w:rFonts w:cs="Arial"/>
                <w:sz w:val="20"/>
              </w:rPr>
              <w:t xml:space="preserve"> do ogółu osób wobec których istnieje podejrzenie, że stosują przemoc domową</w:t>
            </w:r>
          </w:p>
        </w:tc>
      </w:tr>
      <w:tr w:rsidR="001676E4" w:rsidRPr="0054713D" w14:paraId="1B217350" w14:textId="77777777" w:rsidTr="003D66E5">
        <w:tc>
          <w:tcPr>
            <w:tcW w:w="779" w:type="dxa"/>
          </w:tcPr>
          <w:p w14:paraId="0296D57A"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2018</w:t>
            </w:r>
          </w:p>
        </w:tc>
        <w:tc>
          <w:tcPr>
            <w:tcW w:w="2765" w:type="dxa"/>
          </w:tcPr>
          <w:p w14:paraId="6F886868"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7 303</w:t>
            </w:r>
          </w:p>
        </w:tc>
        <w:tc>
          <w:tcPr>
            <w:tcW w:w="2835" w:type="dxa"/>
          </w:tcPr>
          <w:p w14:paraId="5F1A5BBD"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4 389</w:t>
            </w:r>
          </w:p>
        </w:tc>
        <w:tc>
          <w:tcPr>
            <w:tcW w:w="2835" w:type="dxa"/>
          </w:tcPr>
          <w:p w14:paraId="113E391B"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60,09 %</w:t>
            </w:r>
          </w:p>
        </w:tc>
      </w:tr>
      <w:tr w:rsidR="001676E4" w:rsidRPr="0054713D" w14:paraId="7229B2AC" w14:textId="77777777" w:rsidTr="003D66E5">
        <w:tc>
          <w:tcPr>
            <w:tcW w:w="779" w:type="dxa"/>
          </w:tcPr>
          <w:p w14:paraId="6D5187DF"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2019</w:t>
            </w:r>
          </w:p>
        </w:tc>
        <w:tc>
          <w:tcPr>
            <w:tcW w:w="2765" w:type="dxa"/>
          </w:tcPr>
          <w:p w14:paraId="6BD65E9C"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6 560</w:t>
            </w:r>
          </w:p>
        </w:tc>
        <w:tc>
          <w:tcPr>
            <w:tcW w:w="2835" w:type="dxa"/>
          </w:tcPr>
          <w:p w14:paraId="19F87665"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4 024</w:t>
            </w:r>
          </w:p>
        </w:tc>
        <w:tc>
          <w:tcPr>
            <w:tcW w:w="2835" w:type="dxa"/>
          </w:tcPr>
          <w:p w14:paraId="6BE2AD92"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61,34 %</w:t>
            </w:r>
          </w:p>
        </w:tc>
      </w:tr>
      <w:tr w:rsidR="001676E4" w:rsidRPr="0054713D" w14:paraId="0722418A" w14:textId="77777777" w:rsidTr="003D66E5">
        <w:tc>
          <w:tcPr>
            <w:tcW w:w="779" w:type="dxa"/>
          </w:tcPr>
          <w:p w14:paraId="44B85B68"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2020</w:t>
            </w:r>
          </w:p>
        </w:tc>
        <w:tc>
          <w:tcPr>
            <w:tcW w:w="2765" w:type="dxa"/>
          </w:tcPr>
          <w:p w14:paraId="6F978669"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4 862</w:t>
            </w:r>
          </w:p>
        </w:tc>
        <w:tc>
          <w:tcPr>
            <w:tcW w:w="2835" w:type="dxa"/>
          </w:tcPr>
          <w:p w14:paraId="230C5DFC"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2 925</w:t>
            </w:r>
          </w:p>
        </w:tc>
        <w:tc>
          <w:tcPr>
            <w:tcW w:w="2835" w:type="dxa"/>
          </w:tcPr>
          <w:p w14:paraId="2C7E5F7E"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60,16%</w:t>
            </w:r>
          </w:p>
        </w:tc>
      </w:tr>
      <w:tr w:rsidR="001676E4" w:rsidRPr="0054713D" w14:paraId="115569B5" w14:textId="77777777" w:rsidTr="003D66E5">
        <w:tc>
          <w:tcPr>
            <w:tcW w:w="779" w:type="dxa"/>
          </w:tcPr>
          <w:p w14:paraId="4838F9AA"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2021</w:t>
            </w:r>
          </w:p>
        </w:tc>
        <w:tc>
          <w:tcPr>
            <w:tcW w:w="2765" w:type="dxa"/>
          </w:tcPr>
          <w:p w14:paraId="4CCEC0E1"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3 814</w:t>
            </w:r>
          </w:p>
        </w:tc>
        <w:tc>
          <w:tcPr>
            <w:tcW w:w="2835" w:type="dxa"/>
          </w:tcPr>
          <w:p w14:paraId="32CA5493"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2 194</w:t>
            </w:r>
          </w:p>
        </w:tc>
        <w:tc>
          <w:tcPr>
            <w:tcW w:w="2835" w:type="dxa"/>
          </w:tcPr>
          <w:p w14:paraId="171B6744"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57,52 %</w:t>
            </w:r>
          </w:p>
        </w:tc>
      </w:tr>
      <w:tr w:rsidR="001676E4" w:rsidRPr="0054713D" w14:paraId="2C288F79" w14:textId="77777777" w:rsidTr="003D66E5">
        <w:tc>
          <w:tcPr>
            <w:tcW w:w="779" w:type="dxa"/>
          </w:tcPr>
          <w:p w14:paraId="14C4FB9B"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2022</w:t>
            </w:r>
          </w:p>
        </w:tc>
        <w:tc>
          <w:tcPr>
            <w:tcW w:w="2765" w:type="dxa"/>
          </w:tcPr>
          <w:p w14:paraId="63F51B49" w14:textId="18B175BE"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3</w:t>
            </w:r>
            <w:r w:rsidR="00067565">
              <w:rPr>
                <w:rFonts w:cs="Arial"/>
                <w:sz w:val="20"/>
              </w:rPr>
              <w:t xml:space="preserve"> </w:t>
            </w:r>
            <w:r w:rsidRPr="0054713D">
              <w:rPr>
                <w:rFonts w:cs="Arial"/>
                <w:sz w:val="20"/>
              </w:rPr>
              <w:t>473</w:t>
            </w:r>
          </w:p>
        </w:tc>
        <w:tc>
          <w:tcPr>
            <w:tcW w:w="2835" w:type="dxa"/>
          </w:tcPr>
          <w:p w14:paraId="4D249F47" w14:textId="04F3772C"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2</w:t>
            </w:r>
            <w:r w:rsidR="00067565">
              <w:rPr>
                <w:rFonts w:cs="Arial"/>
                <w:sz w:val="20"/>
              </w:rPr>
              <w:t xml:space="preserve"> </w:t>
            </w:r>
            <w:r w:rsidRPr="0054713D">
              <w:rPr>
                <w:rFonts w:cs="Arial"/>
                <w:sz w:val="20"/>
              </w:rPr>
              <w:t>036</w:t>
            </w:r>
          </w:p>
        </w:tc>
        <w:tc>
          <w:tcPr>
            <w:tcW w:w="2835" w:type="dxa"/>
          </w:tcPr>
          <w:p w14:paraId="10FF45E1"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58,62%</w:t>
            </w:r>
          </w:p>
        </w:tc>
      </w:tr>
      <w:tr w:rsidR="001676E4" w:rsidRPr="0054713D" w14:paraId="0D1A82E2" w14:textId="77777777" w:rsidTr="003D66E5">
        <w:tc>
          <w:tcPr>
            <w:tcW w:w="779" w:type="dxa"/>
          </w:tcPr>
          <w:p w14:paraId="2B14DA6B"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2023</w:t>
            </w:r>
          </w:p>
        </w:tc>
        <w:tc>
          <w:tcPr>
            <w:tcW w:w="2765" w:type="dxa"/>
          </w:tcPr>
          <w:p w14:paraId="5A0BFCF5" w14:textId="6AFEC5A0"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3</w:t>
            </w:r>
            <w:r w:rsidR="00067565">
              <w:rPr>
                <w:rFonts w:cs="Arial"/>
                <w:sz w:val="20"/>
              </w:rPr>
              <w:t xml:space="preserve"> </w:t>
            </w:r>
            <w:r w:rsidRPr="0054713D">
              <w:rPr>
                <w:rFonts w:cs="Arial"/>
                <w:sz w:val="20"/>
              </w:rPr>
              <w:t>322</w:t>
            </w:r>
          </w:p>
        </w:tc>
        <w:tc>
          <w:tcPr>
            <w:tcW w:w="2835" w:type="dxa"/>
          </w:tcPr>
          <w:p w14:paraId="18F424CA" w14:textId="0B2F8065"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1</w:t>
            </w:r>
            <w:r w:rsidR="00067565">
              <w:rPr>
                <w:rFonts w:cs="Arial"/>
                <w:sz w:val="20"/>
              </w:rPr>
              <w:t xml:space="preserve"> </w:t>
            </w:r>
            <w:r w:rsidRPr="0054713D">
              <w:rPr>
                <w:rFonts w:cs="Arial"/>
                <w:sz w:val="20"/>
              </w:rPr>
              <w:t>705</w:t>
            </w:r>
          </w:p>
        </w:tc>
        <w:tc>
          <w:tcPr>
            <w:tcW w:w="2835" w:type="dxa"/>
          </w:tcPr>
          <w:p w14:paraId="69340E6E"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51,32%</w:t>
            </w:r>
          </w:p>
        </w:tc>
      </w:tr>
      <w:tr w:rsidR="001676E4" w:rsidRPr="0054713D" w14:paraId="535ACCF9" w14:textId="77777777" w:rsidTr="003D66E5">
        <w:tc>
          <w:tcPr>
            <w:tcW w:w="779" w:type="dxa"/>
          </w:tcPr>
          <w:p w14:paraId="4D1BC150" w14:textId="77777777" w:rsidR="001676E4" w:rsidRPr="0054713D" w:rsidRDefault="001676E4" w:rsidP="003D66E5">
            <w:pPr>
              <w:tabs>
                <w:tab w:val="left" w:pos="284"/>
                <w:tab w:val="left" w:pos="426"/>
              </w:tabs>
              <w:spacing w:after="0" w:line="240" w:lineRule="auto"/>
              <w:rPr>
                <w:rFonts w:cs="Arial"/>
                <w:b/>
                <w:bCs/>
                <w:sz w:val="20"/>
              </w:rPr>
            </w:pPr>
            <w:r w:rsidRPr="0054713D">
              <w:rPr>
                <w:rFonts w:cs="Arial"/>
                <w:b/>
                <w:bCs/>
                <w:sz w:val="20"/>
              </w:rPr>
              <w:t>2024</w:t>
            </w:r>
          </w:p>
        </w:tc>
        <w:tc>
          <w:tcPr>
            <w:tcW w:w="2765" w:type="dxa"/>
          </w:tcPr>
          <w:p w14:paraId="3CD3F028" w14:textId="4AF06F8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3</w:t>
            </w:r>
            <w:r w:rsidR="00067565">
              <w:rPr>
                <w:rFonts w:cs="Arial"/>
                <w:sz w:val="20"/>
              </w:rPr>
              <w:t xml:space="preserve"> </w:t>
            </w:r>
            <w:r w:rsidRPr="0054713D">
              <w:rPr>
                <w:rFonts w:cs="Arial"/>
                <w:sz w:val="20"/>
              </w:rPr>
              <w:t>228</w:t>
            </w:r>
          </w:p>
        </w:tc>
        <w:tc>
          <w:tcPr>
            <w:tcW w:w="2835" w:type="dxa"/>
          </w:tcPr>
          <w:p w14:paraId="29B0FD0F" w14:textId="385D5904"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1</w:t>
            </w:r>
            <w:r w:rsidR="00067565">
              <w:rPr>
                <w:rFonts w:cs="Arial"/>
                <w:sz w:val="20"/>
              </w:rPr>
              <w:t xml:space="preserve"> </w:t>
            </w:r>
            <w:r w:rsidRPr="0054713D">
              <w:rPr>
                <w:rFonts w:cs="Arial"/>
                <w:sz w:val="20"/>
              </w:rPr>
              <w:t>495</w:t>
            </w:r>
          </w:p>
        </w:tc>
        <w:tc>
          <w:tcPr>
            <w:tcW w:w="2835" w:type="dxa"/>
          </w:tcPr>
          <w:p w14:paraId="05E8E9B7" w14:textId="77777777" w:rsidR="001676E4" w:rsidRPr="0054713D" w:rsidRDefault="001676E4" w:rsidP="003D66E5">
            <w:pPr>
              <w:tabs>
                <w:tab w:val="left" w:pos="284"/>
                <w:tab w:val="left" w:pos="426"/>
              </w:tabs>
              <w:spacing w:after="0" w:line="240" w:lineRule="auto"/>
              <w:jc w:val="center"/>
              <w:rPr>
                <w:rFonts w:cs="Arial"/>
                <w:sz w:val="20"/>
              </w:rPr>
            </w:pPr>
            <w:r w:rsidRPr="0054713D">
              <w:rPr>
                <w:rFonts w:cs="Arial"/>
                <w:sz w:val="20"/>
              </w:rPr>
              <w:t>46,31%</w:t>
            </w:r>
          </w:p>
        </w:tc>
      </w:tr>
    </w:tbl>
    <w:p w14:paraId="5D764ED6" w14:textId="5E9DC96E" w:rsidR="001676E4" w:rsidRPr="004B3E03" w:rsidRDefault="001676E4" w:rsidP="001676E4">
      <w:pPr>
        <w:tabs>
          <w:tab w:val="left" w:pos="426"/>
          <w:tab w:val="left" w:pos="7938"/>
        </w:tabs>
        <w:spacing w:after="240" w:line="240" w:lineRule="auto"/>
        <w:ind w:right="1"/>
        <w:jc w:val="both"/>
        <w:rPr>
          <w:rFonts w:cs="Arial"/>
          <w:sz w:val="16"/>
          <w:szCs w:val="16"/>
        </w:rPr>
      </w:pPr>
      <w:r w:rsidRPr="004B3E03">
        <w:rPr>
          <w:rFonts w:cs="Arial"/>
          <w:sz w:val="16"/>
          <w:szCs w:val="16"/>
        </w:rPr>
        <w:t xml:space="preserve">Źródło: Opracowanie własne na podstawie Informacji dotyczącej realizacji przez jednostki organizacyjne Policji procedury „Niebieskie Karty” oraz inicjatyw podejmowanych w obszarze przeciwdziałania przemocy </w:t>
      </w:r>
      <w:r>
        <w:rPr>
          <w:rFonts w:cs="Arial"/>
          <w:sz w:val="16"/>
          <w:szCs w:val="16"/>
        </w:rPr>
        <w:t>domowej</w:t>
      </w:r>
      <w:r w:rsidRPr="004B3E03">
        <w:rPr>
          <w:rFonts w:cs="Arial"/>
          <w:sz w:val="16"/>
          <w:szCs w:val="16"/>
        </w:rPr>
        <w:t>, Komenda Główna Policji</w:t>
      </w:r>
      <w:r w:rsidR="00536E9E">
        <w:rPr>
          <w:rFonts w:cs="Arial"/>
          <w:sz w:val="16"/>
          <w:szCs w:val="16"/>
        </w:rPr>
        <w:t xml:space="preserve"> w Lublinie</w:t>
      </w:r>
    </w:p>
    <w:p w14:paraId="1EBB548A" w14:textId="6DF05695" w:rsidR="001676E4" w:rsidRPr="00317DE2" w:rsidRDefault="001676E4" w:rsidP="001676E4">
      <w:pPr>
        <w:tabs>
          <w:tab w:val="left" w:pos="426"/>
        </w:tabs>
        <w:spacing w:after="0" w:line="360" w:lineRule="auto"/>
        <w:jc w:val="both"/>
        <w:rPr>
          <w:rFonts w:cs="Arial"/>
          <w:color w:val="000000"/>
          <w:sz w:val="22"/>
          <w:szCs w:val="22"/>
        </w:rPr>
      </w:pPr>
      <w:r w:rsidRPr="00317DE2">
        <w:rPr>
          <w:rFonts w:cs="Arial"/>
          <w:b/>
          <w:bCs/>
          <w:color w:val="000000"/>
          <w:sz w:val="22"/>
          <w:szCs w:val="22"/>
        </w:rPr>
        <w:tab/>
      </w:r>
      <w:r w:rsidRPr="00317DE2">
        <w:rPr>
          <w:rFonts w:cs="Arial"/>
          <w:color w:val="000000"/>
          <w:sz w:val="22"/>
          <w:szCs w:val="22"/>
        </w:rPr>
        <w:t>Na przestrzeni lat 2018</w:t>
      </w:r>
      <w:r w:rsidR="00067565">
        <w:rPr>
          <w:rFonts w:cs="Arial"/>
          <w:color w:val="000000"/>
          <w:sz w:val="22"/>
          <w:szCs w:val="22"/>
        </w:rPr>
        <w:t xml:space="preserve"> </w:t>
      </w:r>
      <w:r w:rsidRPr="00317DE2">
        <w:rPr>
          <w:rFonts w:cs="Arial"/>
          <w:color w:val="000000"/>
          <w:sz w:val="22"/>
          <w:szCs w:val="22"/>
        </w:rPr>
        <w:t>-</w:t>
      </w:r>
      <w:r w:rsidR="00067565">
        <w:rPr>
          <w:rFonts w:cs="Arial"/>
          <w:color w:val="000000"/>
          <w:sz w:val="22"/>
          <w:szCs w:val="22"/>
        </w:rPr>
        <w:t xml:space="preserve"> </w:t>
      </w:r>
      <w:r w:rsidRPr="00317DE2">
        <w:rPr>
          <w:rFonts w:cs="Arial"/>
          <w:color w:val="000000"/>
          <w:sz w:val="22"/>
          <w:szCs w:val="22"/>
        </w:rPr>
        <w:t xml:space="preserve">2022 w grupie osób, wobec których istniało podejrzenie, że stosowali przemoc </w:t>
      </w:r>
      <w:r w:rsidRPr="004B3E03">
        <w:rPr>
          <w:rFonts w:cs="Arial"/>
          <w:color w:val="000000"/>
          <w:sz w:val="22"/>
          <w:szCs w:val="22"/>
        </w:rPr>
        <w:t>domową, około 60% znajdowało się pod wpływem alkoholu.</w:t>
      </w:r>
      <w:r w:rsidRPr="004B3E03">
        <w:rPr>
          <w:rFonts w:cs="Arial"/>
          <w:color w:val="000000"/>
          <w:sz w:val="22"/>
          <w:szCs w:val="22"/>
        </w:rPr>
        <w:br/>
      </w:r>
      <w:r w:rsidRPr="00317DE2">
        <w:rPr>
          <w:rFonts w:cs="Arial"/>
          <w:color w:val="000000"/>
          <w:sz w:val="22"/>
          <w:szCs w:val="22"/>
        </w:rPr>
        <w:t>W 2023 r</w:t>
      </w:r>
      <w:r w:rsidR="00067565">
        <w:rPr>
          <w:rFonts w:cs="Arial"/>
          <w:color w:val="000000"/>
          <w:sz w:val="22"/>
          <w:szCs w:val="22"/>
        </w:rPr>
        <w:t xml:space="preserve">oku </w:t>
      </w:r>
      <w:r w:rsidRPr="00317DE2">
        <w:rPr>
          <w:rFonts w:cs="Arial"/>
          <w:color w:val="000000"/>
          <w:sz w:val="22"/>
          <w:szCs w:val="22"/>
        </w:rPr>
        <w:t xml:space="preserve"> zaobserwowano tendencję malejącą, a w roku 2024 roku spadek nastąpił o około 5% w stosunku do roku poprzedniego.</w:t>
      </w:r>
    </w:p>
    <w:p w14:paraId="13A70216" w14:textId="77777777" w:rsidR="001676E4" w:rsidRPr="00317DE2" w:rsidRDefault="001676E4" w:rsidP="001676E4">
      <w:pPr>
        <w:tabs>
          <w:tab w:val="left" w:pos="426"/>
        </w:tabs>
        <w:spacing w:line="360" w:lineRule="auto"/>
        <w:jc w:val="both"/>
        <w:rPr>
          <w:rFonts w:cs="Arial"/>
          <w:color w:val="000000"/>
          <w:sz w:val="22"/>
          <w:szCs w:val="22"/>
        </w:rPr>
      </w:pPr>
      <w:r w:rsidRPr="00317DE2">
        <w:rPr>
          <w:rFonts w:cs="Arial"/>
          <w:color w:val="000000"/>
          <w:sz w:val="22"/>
          <w:szCs w:val="22"/>
        </w:rPr>
        <w:tab/>
        <w:t>Osoby znajdujące się pod wpływem alkoholu często są także sprawcami popełnianych przestępstw. Według danych Komendy Wojewódzkiej Policji w Lublinie liczba sprawców</w:t>
      </w:r>
      <w:r w:rsidRPr="00317DE2">
        <w:rPr>
          <w:rFonts w:cs="Arial"/>
          <w:color w:val="000000"/>
          <w:sz w:val="22"/>
          <w:szCs w:val="22"/>
        </w:rPr>
        <w:br/>
        <w:t xml:space="preserve">z podziałem na nietrzeźwych podejrzanych w kategoriach przestępstw wyszczególnionych poniżej przestępstw przedstawia się następująco: </w:t>
      </w:r>
    </w:p>
    <w:p w14:paraId="0907B234" w14:textId="23C9A619" w:rsidR="001676E4" w:rsidRPr="0054713D" w:rsidRDefault="001676E4" w:rsidP="001676E4">
      <w:pPr>
        <w:pStyle w:val="Legenda"/>
        <w:keepNext/>
        <w:rPr>
          <w:sz w:val="20"/>
          <w:szCs w:val="16"/>
        </w:rPr>
      </w:pPr>
      <w:bookmarkStart w:id="61" w:name="_Toc214279700"/>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15</w:t>
      </w:r>
      <w:r w:rsidRPr="0054713D">
        <w:rPr>
          <w:sz w:val="20"/>
          <w:szCs w:val="16"/>
        </w:rPr>
        <w:fldChar w:fldCharType="end"/>
      </w:r>
      <w:r w:rsidRPr="0054713D">
        <w:rPr>
          <w:sz w:val="20"/>
          <w:szCs w:val="16"/>
        </w:rPr>
        <w:t>. Liczba sprawców z podziałem na nietrzeźwych podejrzanych w kategoriach przestępstw w województwie lubelskim w latach 2018-2024</w:t>
      </w:r>
      <w:bookmarkEnd w:id="61"/>
    </w:p>
    <w:tbl>
      <w:tblPr>
        <w:tblStyle w:val="Tabela-Siatka"/>
        <w:tblW w:w="9498" w:type="dxa"/>
        <w:tblInd w:w="-5" w:type="dxa"/>
        <w:tblLook w:val="04A0" w:firstRow="1" w:lastRow="0" w:firstColumn="1" w:lastColumn="0" w:noHBand="0" w:noVBand="1"/>
      </w:tblPr>
      <w:tblGrid>
        <w:gridCol w:w="2879"/>
        <w:gridCol w:w="945"/>
        <w:gridCol w:w="946"/>
        <w:gridCol w:w="945"/>
        <w:gridCol w:w="946"/>
        <w:gridCol w:w="945"/>
        <w:gridCol w:w="946"/>
        <w:gridCol w:w="946"/>
      </w:tblGrid>
      <w:tr w:rsidR="00E20635" w:rsidRPr="00E20635" w14:paraId="3C8A0393" w14:textId="77777777" w:rsidTr="00E20635">
        <w:tc>
          <w:tcPr>
            <w:tcW w:w="2879" w:type="dxa"/>
            <w:vAlign w:val="center"/>
          </w:tcPr>
          <w:p w14:paraId="3180A8AC" w14:textId="262B5F40" w:rsidR="00CA082D" w:rsidRPr="00E20635" w:rsidRDefault="00CA082D" w:rsidP="00FB1688">
            <w:pPr>
              <w:spacing w:before="240" w:after="240" w:line="240" w:lineRule="auto"/>
              <w:jc w:val="center"/>
              <w:rPr>
                <w:rFonts w:cs="Arial"/>
                <w:b/>
                <w:bCs/>
                <w:sz w:val="20"/>
              </w:rPr>
            </w:pPr>
            <w:r w:rsidRPr="00E20635">
              <w:rPr>
                <w:rFonts w:cs="Arial"/>
                <w:b/>
                <w:bCs/>
                <w:sz w:val="20"/>
              </w:rPr>
              <w:t>Kategoria przestępstwa</w:t>
            </w:r>
          </w:p>
        </w:tc>
        <w:tc>
          <w:tcPr>
            <w:tcW w:w="945" w:type="dxa"/>
            <w:vAlign w:val="center"/>
          </w:tcPr>
          <w:p w14:paraId="2FD3A94C" w14:textId="5418449B" w:rsidR="00CA082D" w:rsidRPr="00E20635" w:rsidRDefault="00CA082D" w:rsidP="00E20635">
            <w:pPr>
              <w:spacing w:after="0" w:line="240" w:lineRule="auto"/>
              <w:jc w:val="center"/>
              <w:rPr>
                <w:rFonts w:cs="Arial"/>
                <w:b/>
                <w:bCs/>
                <w:sz w:val="20"/>
              </w:rPr>
            </w:pPr>
            <w:r w:rsidRPr="00E20635">
              <w:rPr>
                <w:rFonts w:cs="Arial"/>
                <w:b/>
                <w:bCs/>
                <w:sz w:val="20"/>
              </w:rPr>
              <w:t>2018</w:t>
            </w:r>
          </w:p>
        </w:tc>
        <w:tc>
          <w:tcPr>
            <w:tcW w:w="946" w:type="dxa"/>
            <w:vAlign w:val="center"/>
          </w:tcPr>
          <w:p w14:paraId="6612A824" w14:textId="101AC5BA" w:rsidR="00CA082D" w:rsidRPr="00E20635" w:rsidRDefault="00CA082D" w:rsidP="00E20635">
            <w:pPr>
              <w:spacing w:after="0" w:line="240" w:lineRule="auto"/>
              <w:jc w:val="center"/>
              <w:rPr>
                <w:rFonts w:cs="Arial"/>
                <w:b/>
                <w:bCs/>
                <w:sz w:val="20"/>
              </w:rPr>
            </w:pPr>
            <w:r w:rsidRPr="00E20635">
              <w:rPr>
                <w:rFonts w:cs="Arial"/>
                <w:b/>
                <w:bCs/>
                <w:sz w:val="20"/>
              </w:rPr>
              <w:t>2019</w:t>
            </w:r>
          </w:p>
        </w:tc>
        <w:tc>
          <w:tcPr>
            <w:tcW w:w="945" w:type="dxa"/>
            <w:vAlign w:val="center"/>
          </w:tcPr>
          <w:p w14:paraId="74C95D9E" w14:textId="4357F753" w:rsidR="00CA082D" w:rsidRPr="00E20635" w:rsidRDefault="00CA082D" w:rsidP="00E20635">
            <w:pPr>
              <w:spacing w:after="0" w:line="240" w:lineRule="auto"/>
              <w:jc w:val="center"/>
              <w:rPr>
                <w:rFonts w:cs="Arial"/>
                <w:b/>
                <w:bCs/>
                <w:sz w:val="20"/>
              </w:rPr>
            </w:pPr>
            <w:r w:rsidRPr="00E20635">
              <w:rPr>
                <w:rFonts w:cs="Arial"/>
                <w:b/>
                <w:bCs/>
                <w:sz w:val="20"/>
              </w:rPr>
              <w:t>2020</w:t>
            </w:r>
          </w:p>
        </w:tc>
        <w:tc>
          <w:tcPr>
            <w:tcW w:w="946" w:type="dxa"/>
            <w:vAlign w:val="center"/>
          </w:tcPr>
          <w:p w14:paraId="6C196FDB" w14:textId="360152DD" w:rsidR="00CA082D" w:rsidRPr="00E20635" w:rsidRDefault="00CA082D" w:rsidP="00E20635">
            <w:pPr>
              <w:spacing w:after="0" w:line="240" w:lineRule="auto"/>
              <w:jc w:val="center"/>
              <w:rPr>
                <w:rFonts w:cs="Arial"/>
                <w:b/>
                <w:bCs/>
                <w:sz w:val="20"/>
              </w:rPr>
            </w:pPr>
            <w:r w:rsidRPr="00E20635">
              <w:rPr>
                <w:rFonts w:cs="Arial"/>
                <w:b/>
                <w:bCs/>
                <w:sz w:val="20"/>
              </w:rPr>
              <w:t>2021</w:t>
            </w:r>
          </w:p>
        </w:tc>
        <w:tc>
          <w:tcPr>
            <w:tcW w:w="945" w:type="dxa"/>
            <w:vAlign w:val="center"/>
          </w:tcPr>
          <w:p w14:paraId="1CF8F0B0" w14:textId="67B49B59" w:rsidR="00CA082D" w:rsidRPr="00E20635" w:rsidRDefault="00CA082D" w:rsidP="00E20635">
            <w:pPr>
              <w:spacing w:after="0" w:line="240" w:lineRule="auto"/>
              <w:jc w:val="center"/>
              <w:rPr>
                <w:rFonts w:cs="Arial"/>
                <w:b/>
                <w:bCs/>
                <w:sz w:val="20"/>
              </w:rPr>
            </w:pPr>
            <w:r w:rsidRPr="00E20635">
              <w:rPr>
                <w:rFonts w:cs="Arial"/>
                <w:b/>
                <w:bCs/>
                <w:sz w:val="20"/>
              </w:rPr>
              <w:t>2022</w:t>
            </w:r>
          </w:p>
        </w:tc>
        <w:tc>
          <w:tcPr>
            <w:tcW w:w="946" w:type="dxa"/>
            <w:vAlign w:val="center"/>
          </w:tcPr>
          <w:p w14:paraId="6D60C12E" w14:textId="67088C3C" w:rsidR="00CA082D" w:rsidRPr="00E20635" w:rsidRDefault="00CA082D" w:rsidP="00E20635">
            <w:pPr>
              <w:spacing w:after="0" w:line="240" w:lineRule="auto"/>
              <w:jc w:val="center"/>
              <w:rPr>
                <w:rFonts w:cs="Arial"/>
                <w:b/>
                <w:bCs/>
                <w:sz w:val="20"/>
              </w:rPr>
            </w:pPr>
            <w:r w:rsidRPr="00E20635">
              <w:rPr>
                <w:rFonts w:cs="Arial"/>
                <w:b/>
                <w:bCs/>
                <w:sz w:val="20"/>
              </w:rPr>
              <w:t>2023</w:t>
            </w:r>
          </w:p>
        </w:tc>
        <w:tc>
          <w:tcPr>
            <w:tcW w:w="946" w:type="dxa"/>
            <w:vAlign w:val="center"/>
          </w:tcPr>
          <w:p w14:paraId="26E50F55" w14:textId="2134A7F3" w:rsidR="00CA082D" w:rsidRPr="00E20635" w:rsidRDefault="00CA082D" w:rsidP="00E20635">
            <w:pPr>
              <w:spacing w:after="0" w:line="240" w:lineRule="auto"/>
              <w:jc w:val="center"/>
              <w:rPr>
                <w:rFonts w:cs="Arial"/>
                <w:b/>
                <w:bCs/>
                <w:sz w:val="20"/>
              </w:rPr>
            </w:pPr>
            <w:r w:rsidRPr="00E20635">
              <w:rPr>
                <w:rFonts w:cs="Arial"/>
                <w:b/>
                <w:bCs/>
                <w:sz w:val="20"/>
              </w:rPr>
              <w:t>2024</w:t>
            </w:r>
          </w:p>
        </w:tc>
      </w:tr>
      <w:tr w:rsidR="00E20635" w:rsidRPr="00E20635" w14:paraId="773D4F3E" w14:textId="77777777" w:rsidTr="00E20635">
        <w:tc>
          <w:tcPr>
            <w:tcW w:w="2879" w:type="dxa"/>
            <w:vAlign w:val="center"/>
          </w:tcPr>
          <w:p w14:paraId="6ABCF2E8" w14:textId="77777777" w:rsidR="00E20635" w:rsidRPr="00E20635" w:rsidRDefault="00E20635" w:rsidP="00E20635">
            <w:pPr>
              <w:spacing w:after="0" w:line="240" w:lineRule="auto"/>
              <w:jc w:val="center"/>
              <w:rPr>
                <w:rFonts w:cs="Arial"/>
                <w:sz w:val="20"/>
              </w:rPr>
            </w:pPr>
            <w:r w:rsidRPr="00E20635">
              <w:rPr>
                <w:rFonts w:cs="Arial"/>
                <w:sz w:val="20"/>
              </w:rPr>
              <w:t>Zabójstwo</w:t>
            </w:r>
          </w:p>
          <w:p w14:paraId="28FE9AF3" w14:textId="6FDC1FCD"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4A8B2050" w14:textId="5ACC4B3B" w:rsidR="00E20635" w:rsidRPr="00E20635" w:rsidRDefault="00E20635" w:rsidP="00E20635">
            <w:pPr>
              <w:spacing w:after="0" w:line="240" w:lineRule="auto"/>
              <w:jc w:val="center"/>
              <w:rPr>
                <w:rFonts w:cs="Arial"/>
                <w:sz w:val="20"/>
              </w:rPr>
            </w:pPr>
            <w:r w:rsidRPr="00E20635">
              <w:rPr>
                <w:rFonts w:cs="Arial"/>
                <w:sz w:val="20"/>
              </w:rPr>
              <w:t>40</w:t>
            </w:r>
          </w:p>
        </w:tc>
        <w:tc>
          <w:tcPr>
            <w:tcW w:w="946" w:type="dxa"/>
            <w:vAlign w:val="center"/>
          </w:tcPr>
          <w:p w14:paraId="56637434" w14:textId="6A6EEBC6" w:rsidR="00E20635" w:rsidRPr="00E20635" w:rsidRDefault="00E20635" w:rsidP="00E20635">
            <w:pPr>
              <w:spacing w:after="0" w:line="240" w:lineRule="auto"/>
              <w:jc w:val="center"/>
              <w:rPr>
                <w:rFonts w:cs="Arial"/>
                <w:sz w:val="20"/>
              </w:rPr>
            </w:pPr>
            <w:r w:rsidRPr="00E20635">
              <w:rPr>
                <w:rFonts w:cs="Arial"/>
                <w:sz w:val="20"/>
              </w:rPr>
              <w:t>25</w:t>
            </w:r>
          </w:p>
        </w:tc>
        <w:tc>
          <w:tcPr>
            <w:tcW w:w="945" w:type="dxa"/>
            <w:vAlign w:val="center"/>
          </w:tcPr>
          <w:p w14:paraId="406DD23F" w14:textId="3C5806DD" w:rsidR="00E20635" w:rsidRPr="00E20635" w:rsidRDefault="00E20635" w:rsidP="00E20635">
            <w:pPr>
              <w:spacing w:after="0" w:line="240" w:lineRule="auto"/>
              <w:jc w:val="center"/>
              <w:rPr>
                <w:rFonts w:cs="Arial"/>
                <w:sz w:val="20"/>
              </w:rPr>
            </w:pPr>
            <w:r w:rsidRPr="00E20635">
              <w:rPr>
                <w:rFonts w:cs="Arial"/>
                <w:sz w:val="20"/>
              </w:rPr>
              <w:t>21</w:t>
            </w:r>
          </w:p>
        </w:tc>
        <w:tc>
          <w:tcPr>
            <w:tcW w:w="946" w:type="dxa"/>
            <w:vAlign w:val="center"/>
          </w:tcPr>
          <w:p w14:paraId="50278F2E" w14:textId="180C1066" w:rsidR="00E20635" w:rsidRPr="00E20635" w:rsidRDefault="00E20635" w:rsidP="00E20635">
            <w:pPr>
              <w:spacing w:after="0" w:line="240" w:lineRule="auto"/>
              <w:jc w:val="center"/>
              <w:rPr>
                <w:rFonts w:cs="Arial"/>
                <w:sz w:val="20"/>
              </w:rPr>
            </w:pPr>
            <w:r w:rsidRPr="00E20635">
              <w:rPr>
                <w:rFonts w:cs="Arial"/>
                <w:sz w:val="20"/>
              </w:rPr>
              <w:t>46</w:t>
            </w:r>
          </w:p>
        </w:tc>
        <w:tc>
          <w:tcPr>
            <w:tcW w:w="945" w:type="dxa"/>
            <w:vAlign w:val="center"/>
          </w:tcPr>
          <w:p w14:paraId="18ACBED1" w14:textId="21DDD0CE" w:rsidR="00E20635" w:rsidRPr="00E20635" w:rsidRDefault="00E20635" w:rsidP="00E20635">
            <w:pPr>
              <w:spacing w:after="0" w:line="240" w:lineRule="auto"/>
              <w:jc w:val="center"/>
              <w:rPr>
                <w:rFonts w:cs="Arial"/>
                <w:sz w:val="20"/>
              </w:rPr>
            </w:pPr>
            <w:r w:rsidRPr="00E20635">
              <w:rPr>
                <w:rFonts w:cs="Arial"/>
                <w:sz w:val="20"/>
              </w:rPr>
              <w:t>22</w:t>
            </w:r>
          </w:p>
        </w:tc>
        <w:tc>
          <w:tcPr>
            <w:tcW w:w="946" w:type="dxa"/>
            <w:vAlign w:val="center"/>
          </w:tcPr>
          <w:p w14:paraId="36210901" w14:textId="55A027B5" w:rsidR="00E20635" w:rsidRPr="00E20635" w:rsidRDefault="00E20635" w:rsidP="00E20635">
            <w:pPr>
              <w:spacing w:after="0" w:line="240" w:lineRule="auto"/>
              <w:jc w:val="center"/>
              <w:rPr>
                <w:rFonts w:cs="Arial"/>
                <w:sz w:val="20"/>
              </w:rPr>
            </w:pPr>
            <w:r w:rsidRPr="00E20635">
              <w:rPr>
                <w:rFonts w:cs="Arial"/>
                <w:sz w:val="20"/>
              </w:rPr>
              <w:t>21</w:t>
            </w:r>
          </w:p>
        </w:tc>
        <w:tc>
          <w:tcPr>
            <w:tcW w:w="946" w:type="dxa"/>
            <w:vAlign w:val="center"/>
          </w:tcPr>
          <w:p w14:paraId="2C63443B" w14:textId="7C201F6B" w:rsidR="00E20635" w:rsidRPr="00E20635" w:rsidRDefault="00E20635" w:rsidP="00E20635">
            <w:pPr>
              <w:spacing w:after="0" w:line="240" w:lineRule="auto"/>
              <w:jc w:val="center"/>
              <w:rPr>
                <w:rFonts w:cs="Arial"/>
                <w:sz w:val="20"/>
              </w:rPr>
            </w:pPr>
            <w:r w:rsidRPr="00E20635">
              <w:rPr>
                <w:rFonts w:cs="Arial"/>
                <w:sz w:val="20"/>
              </w:rPr>
              <w:t>26</w:t>
            </w:r>
          </w:p>
        </w:tc>
      </w:tr>
      <w:tr w:rsidR="00E20635" w:rsidRPr="00E20635" w14:paraId="0A73FC5F" w14:textId="77777777" w:rsidTr="00E20635">
        <w:tc>
          <w:tcPr>
            <w:tcW w:w="2879" w:type="dxa"/>
            <w:vAlign w:val="center"/>
          </w:tcPr>
          <w:p w14:paraId="29312DF9" w14:textId="77777777" w:rsidR="00E20635" w:rsidRPr="00E20635" w:rsidRDefault="00E20635" w:rsidP="00E20635">
            <w:pPr>
              <w:spacing w:after="0" w:line="240" w:lineRule="auto"/>
              <w:jc w:val="center"/>
              <w:rPr>
                <w:rFonts w:cs="Arial"/>
                <w:sz w:val="20"/>
              </w:rPr>
            </w:pPr>
            <w:r w:rsidRPr="00E20635">
              <w:rPr>
                <w:rFonts w:cs="Arial"/>
                <w:sz w:val="20"/>
              </w:rPr>
              <w:t>Zabójstwo</w:t>
            </w:r>
          </w:p>
          <w:p w14:paraId="6FF967B3" w14:textId="349A941F"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4E0C33BD" w14:textId="776255D0" w:rsidR="00E20635" w:rsidRPr="00E20635" w:rsidRDefault="00E20635" w:rsidP="00E20635">
            <w:pPr>
              <w:spacing w:after="0" w:line="240" w:lineRule="auto"/>
              <w:jc w:val="center"/>
              <w:rPr>
                <w:rFonts w:cs="Arial"/>
                <w:sz w:val="20"/>
              </w:rPr>
            </w:pPr>
            <w:r w:rsidRPr="00E20635">
              <w:rPr>
                <w:rFonts w:cs="Arial"/>
                <w:sz w:val="20"/>
              </w:rPr>
              <w:t>12</w:t>
            </w:r>
          </w:p>
        </w:tc>
        <w:tc>
          <w:tcPr>
            <w:tcW w:w="946" w:type="dxa"/>
            <w:vAlign w:val="center"/>
          </w:tcPr>
          <w:p w14:paraId="4529C149" w14:textId="1282F5D7" w:rsidR="00E20635" w:rsidRPr="00E20635" w:rsidRDefault="00E20635" w:rsidP="00E20635">
            <w:pPr>
              <w:spacing w:after="0" w:line="240" w:lineRule="auto"/>
              <w:jc w:val="center"/>
              <w:rPr>
                <w:rFonts w:cs="Arial"/>
                <w:sz w:val="20"/>
              </w:rPr>
            </w:pPr>
            <w:r w:rsidRPr="00E20635">
              <w:rPr>
                <w:rFonts w:cs="Arial"/>
                <w:sz w:val="20"/>
              </w:rPr>
              <w:t>10</w:t>
            </w:r>
          </w:p>
        </w:tc>
        <w:tc>
          <w:tcPr>
            <w:tcW w:w="945" w:type="dxa"/>
            <w:vAlign w:val="center"/>
          </w:tcPr>
          <w:p w14:paraId="6DE8EF60" w14:textId="451DF486" w:rsidR="00E20635" w:rsidRPr="00E20635" w:rsidRDefault="00E20635" w:rsidP="00E20635">
            <w:pPr>
              <w:spacing w:after="0" w:line="240" w:lineRule="auto"/>
              <w:jc w:val="center"/>
              <w:rPr>
                <w:rFonts w:cs="Arial"/>
                <w:sz w:val="20"/>
              </w:rPr>
            </w:pPr>
            <w:r w:rsidRPr="00E20635">
              <w:rPr>
                <w:rFonts w:cs="Arial"/>
                <w:sz w:val="20"/>
              </w:rPr>
              <w:t>11</w:t>
            </w:r>
          </w:p>
        </w:tc>
        <w:tc>
          <w:tcPr>
            <w:tcW w:w="946" w:type="dxa"/>
            <w:vAlign w:val="center"/>
          </w:tcPr>
          <w:p w14:paraId="1C341842" w14:textId="293A9418" w:rsidR="00E20635" w:rsidRPr="00E20635" w:rsidRDefault="00E20635" w:rsidP="00E20635">
            <w:pPr>
              <w:spacing w:after="0" w:line="240" w:lineRule="auto"/>
              <w:jc w:val="center"/>
              <w:rPr>
                <w:rFonts w:cs="Arial"/>
                <w:sz w:val="20"/>
              </w:rPr>
            </w:pPr>
            <w:r w:rsidRPr="00E20635">
              <w:rPr>
                <w:rFonts w:cs="Arial"/>
                <w:sz w:val="20"/>
              </w:rPr>
              <w:t>22</w:t>
            </w:r>
          </w:p>
        </w:tc>
        <w:tc>
          <w:tcPr>
            <w:tcW w:w="945" w:type="dxa"/>
            <w:vAlign w:val="center"/>
          </w:tcPr>
          <w:p w14:paraId="1593627D" w14:textId="47502746" w:rsidR="00E20635" w:rsidRPr="00E20635" w:rsidRDefault="00E20635" w:rsidP="00E20635">
            <w:pPr>
              <w:spacing w:after="0" w:line="240" w:lineRule="auto"/>
              <w:jc w:val="center"/>
              <w:rPr>
                <w:rFonts w:cs="Arial"/>
                <w:sz w:val="20"/>
              </w:rPr>
            </w:pPr>
            <w:r w:rsidRPr="00E20635">
              <w:rPr>
                <w:rFonts w:cs="Arial"/>
                <w:sz w:val="20"/>
              </w:rPr>
              <w:t>10</w:t>
            </w:r>
          </w:p>
        </w:tc>
        <w:tc>
          <w:tcPr>
            <w:tcW w:w="946" w:type="dxa"/>
            <w:vAlign w:val="center"/>
          </w:tcPr>
          <w:p w14:paraId="523605F7" w14:textId="68FF7800" w:rsidR="00E20635" w:rsidRPr="00E20635" w:rsidRDefault="00E20635" w:rsidP="00E20635">
            <w:pPr>
              <w:spacing w:after="0" w:line="240" w:lineRule="auto"/>
              <w:jc w:val="center"/>
              <w:rPr>
                <w:rFonts w:cs="Arial"/>
                <w:sz w:val="20"/>
              </w:rPr>
            </w:pPr>
            <w:r w:rsidRPr="00E20635">
              <w:rPr>
                <w:rFonts w:cs="Arial"/>
                <w:sz w:val="20"/>
              </w:rPr>
              <w:t>11</w:t>
            </w:r>
          </w:p>
        </w:tc>
        <w:tc>
          <w:tcPr>
            <w:tcW w:w="946" w:type="dxa"/>
            <w:vAlign w:val="center"/>
          </w:tcPr>
          <w:p w14:paraId="7D8FA32D" w14:textId="2BAB9475" w:rsidR="00E20635" w:rsidRPr="00E20635" w:rsidRDefault="00E20635" w:rsidP="00E20635">
            <w:pPr>
              <w:spacing w:after="0" w:line="240" w:lineRule="auto"/>
              <w:jc w:val="center"/>
              <w:rPr>
                <w:rFonts w:cs="Arial"/>
                <w:sz w:val="20"/>
              </w:rPr>
            </w:pPr>
            <w:r w:rsidRPr="00E20635">
              <w:rPr>
                <w:rFonts w:cs="Arial"/>
                <w:sz w:val="20"/>
              </w:rPr>
              <w:t>12</w:t>
            </w:r>
          </w:p>
        </w:tc>
      </w:tr>
      <w:tr w:rsidR="00E20635" w:rsidRPr="00E20635" w14:paraId="170443EA" w14:textId="77777777" w:rsidTr="00E20635">
        <w:tc>
          <w:tcPr>
            <w:tcW w:w="2879" w:type="dxa"/>
            <w:vAlign w:val="center"/>
          </w:tcPr>
          <w:p w14:paraId="1F1A7C0C" w14:textId="77777777" w:rsidR="00E20635" w:rsidRPr="00E20635" w:rsidRDefault="00E20635" w:rsidP="00E20635">
            <w:pPr>
              <w:spacing w:after="0" w:line="240" w:lineRule="auto"/>
              <w:jc w:val="center"/>
              <w:rPr>
                <w:rFonts w:cs="Arial"/>
                <w:sz w:val="20"/>
              </w:rPr>
            </w:pPr>
            <w:r w:rsidRPr="00E20635">
              <w:rPr>
                <w:rFonts w:cs="Arial"/>
                <w:sz w:val="20"/>
              </w:rPr>
              <w:t>Uszczerbek na zdrowiu</w:t>
            </w:r>
          </w:p>
          <w:p w14:paraId="53425C1F" w14:textId="590139FD"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33D4E99A" w14:textId="706B1B07" w:rsidR="00E20635" w:rsidRPr="00E20635" w:rsidRDefault="00E20635" w:rsidP="00E20635">
            <w:pPr>
              <w:spacing w:after="0" w:line="240" w:lineRule="auto"/>
              <w:jc w:val="center"/>
              <w:rPr>
                <w:rFonts w:cs="Arial"/>
                <w:sz w:val="20"/>
              </w:rPr>
            </w:pPr>
            <w:r w:rsidRPr="00E20635">
              <w:rPr>
                <w:rFonts w:cs="Arial"/>
                <w:sz w:val="20"/>
              </w:rPr>
              <w:t>475</w:t>
            </w:r>
          </w:p>
        </w:tc>
        <w:tc>
          <w:tcPr>
            <w:tcW w:w="946" w:type="dxa"/>
            <w:vAlign w:val="center"/>
          </w:tcPr>
          <w:p w14:paraId="0A1298B5" w14:textId="57F8C32B" w:rsidR="00E20635" w:rsidRPr="00E20635" w:rsidRDefault="00E20635" w:rsidP="00E20635">
            <w:pPr>
              <w:spacing w:after="0" w:line="240" w:lineRule="auto"/>
              <w:jc w:val="center"/>
              <w:rPr>
                <w:rFonts w:cs="Arial"/>
                <w:sz w:val="20"/>
              </w:rPr>
            </w:pPr>
            <w:r w:rsidRPr="00E20635">
              <w:rPr>
                <w:rFonts w:cs="Arial"/>
                <w:sz w:val="20"/>
              </w:rPr>
              <w:t>500</w:t>
            </w:r>
          </w:p>
        </w:tc>
        <w:tc>
          <w:tcPr>
            <w:tcW w:w="945" w:type="dxa"/>
            <w:vAlign w:val="center"/>
          </w:tcPr>
          <w:p w14:paraId="0679107A" w14:textId="7D642A8D" w:rsidR="00E20635" w:rsidRPr="00E20635" w:rsidRDefault="00E20635" w:rsidP="00E20635">
            <w:pPr>
              <w:spacing w:after="0" w:line="240" w:lineRule="auto"/>
              <w:jc w:val="center"/>
              <w:rPr>
                <w:rFonts w:cs="Arial"/>
                <w:sz w:val="20"/>
              </w:rPr>
            </w:pPr>
            <w:r w:rsidRPr="00E20635">
              <w:rPr>
                <w:rFonts w:cs="Arial"/>
                <w:sz w:val="20"/>
              </w:rPr>
              <w:t>407</w:t>
            </w:r>
          </w:p>
        </w:tc>
        <w:tc>
          <w:tcPr>
            <w:tcW w:w="946" w:type="dxa"/>
            <w:vAlign w:val="center"/>
          </w:tcPr>
          <w:p w14:paraId="6D79DF0D" w14:textId="06C14C93" w:rsidR="00E20635" w:rsidRPr="00E20635" w:rsidRDefault="00E20635" w:rsidP="00E20635">
            <w:pPr>
              <w:spacing w:after="0" w:line="240" w:lineRule="auto"/>
              <w:jc w:val="center"/>
              <w:rPr>
                <w:rFonts w:cs="Arial"/>
                <w:sz w:val="20"/>
              </w:rPr>
            </w:pPr>
            <w:r w:rsidRPr="00E20635">
              <w:rPr>
                <w:rFonts w:cs="Arial"/>
                <w:sz w:val="20"/>
              </w:rPr>
              <w:t>391</w:t>
            </w:r>
          </w:p>
        </w:tc>
        <w:tc>
          <w:tcPr>
            <w:tcW w:w="945" w:type="dxa"/>
            <w:vAlign w:val="center"/>
          </w:tcPr>
          <w:p w14:paraId="776EE18B" w14:textId="40A365DD" w:rsidR="00E20635" w:rsidRPr="00E20635" w:rsidRDefault="00E20635" w:rsidP="00E20635">
            <w:pPr>
              <w:spacing w:after="0" w:line="240" w:lineRule="auto"/>
              <w:jc w:val="center"/>
              <w:rPr>
                <w:rFonts w:cs="Arial"/>
                <w:sz w:val="20"/>
              </w:rPr>
            </w:pPr>
            <w:r w:rsidRPr="00E20635">
              <w:rPr>
                <w:rFonts w:cs="Arial"/>
                <w:sz w:val="20"/>
              </w:rPr>
              <w:t>308</w:t>
            </w:r>
          </w:p>
        </w:tc>
        <w:tc>
          <w:tcPr>
            <w:tcW w:w="946" w:type="dxa"/>
            <w:vAlign w:val="center"/>
          </w:tcPr>
          <w:p w14:paraId="73CF7A05" w14:textId="5787AD8B" w:rsidR="00E20635" w:rsidRPr="00E20635" w:rsidRDefault="00E20635" w:rsidP="00E20635">
            <w:pPr>
              <w:spacing w:after="0" w:line="240" w:lineRule="auto"/>
              <w:jc w:val="center"/>
              <w:rPr>
                <w:rFonts w:cs="Arial"/>
                <w:sz w:val="20"/>
              </w:rPr>
            </w:pPr>
            <w:r w:rsidRPr="00E20635">
              <w:rPr>
                <w:rFonts w:cs="Arial"/>
                <w:sz w:val="20"/>
              </w:rPr>
              <w:t>330</w:t>
            </w:r>
          </w:p>
        </w:tc>
        <w:tc>
          <w:tcPr>
            <w:tcW w:w="946" w:type="dxa"/>
            <w:vAlign w:val="center"/>
          </w:tcPr>
          <w:p w14:paraId="7988FAA3" w14:textId="0B199AAC" w:rsidR="00E20635" w:rsidRPr="00E20635" w:rsidRDefault="00E20635" w:rsidP="00E20635">
            <w:pPr>
              <w:spacing w:after="0" w:line="240" w:lineRule="auto"/>
              <w:jc w:val="center"/>
              <w:rPr>
                <w:rFonts w:cs="Arial"/>
                <w:sz w:val="20"/>
              </w:rPr>
            </w:pPr>
            <w:r w:rsidRPr="00E20635">
              <w:rPr>
                <w:rFonts w:cs="Arial"/>
                <w:sz w:val="20"/>
              </w:rPr>
              <w:t>372</w:t>
            </w:r>
          </w:p>
        </w:tc>
      </w:tr>
      <w:tr w:rsidR="00E20635" w:rsidRPr="00E20635" w14:paraId="479EB626" w14:textId="77777777" w:rsidTr="00E20635">
        <w:tc>
          <w:tcPr>
            <w:tcW w:w="2879" w:type="dxa"/>
            <w:vAlign w:val="center"/>
          </w:tcPr>
          <w:p w14:paraId="2191BB4C" w14:textId="77777777" w:rsidR="00E20635" w:rsidRPr="00E20635" w:rsidRDefault="00E20635" w:rsidP="00E20635">
            <w:pPr>
              <w:spacing w:after="0" w:line="240" w:lineRule="auto"/>
              <w:jc w:val="center"/>
              <w:rPr>
                <w:rFonts w:cs="Arial"/>
                <w:sz w:val="20"/>
              </w:rPr>
            </w:pPr>
            <w:r w:rsidRPr="00E20635">
              <w:rPr>
                <w:rFonts w:cs="Arial"/>
                <w:sz w:val="20"/>
              </w:rPr>
              <w:t>Uszczerbek na zdrowiu</w:t>
            </w:r>
          </w:p>
          <w:p w14:paraId="3EEF4B09" w14:textId="13222FD5"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7D1E7195" w14:textId="704F5E8C" w:rsidR="00E20635" w:rsidRPr="00E20635" w:rsidRDefault="00E20635" w:rsidP="00E20635">
            <w:pPr>
              <w:spacing w:after="0" w:line="240" w:lineRule="auto"/>
              <w:jc w:val="center"/>
              <w:rPr>
                <w:rFonts w:cs="Arial"/>
                <w:sz w:val="20"/>
              </w:rPr>
            </w:pPr>
            <w:r w:rsidRPr="00E20635">
              <w:rPr>
                <w:rFonts w:cs="Arial"/>
                <w:sz w:val="20"/>
              </w:rPr>
              <w:t>114</w:t>
            </w:r>
          </w:p>
        </w:tc>
        <w:tc>
          <w:tcPr>
            <w:tcW w:w="946" w:type="dxa"/>
            <w:vAlign w:val="center"/>
          </w:tcPr>
          <w:p w14:paraId="13F84EC1" w14:textId="2FEB0531" w:rsidR="00E20635" w:rsidRPr="00E20635" w:rsidRDefault="00E20635" w:rsidP="00E20635">
            <w:pPr>
              <w:spacing w:after="0" w:line="240" w:lineRule="auto"/>
              <w:jc w:val="center"/>
              <w:rPr>
                <w:rFonts w:cs="Arial"/>
                <w:sz w:val="20"/>
              </w:rPr>
            </w:pPr>
            <w:r w:rsidRPr="00E20635">
              <w:rPr>
                <w:rFonts w:cs="Arial"/>
                <w:sz w:val="20"/>
              </w:rPr>
              <w:t>130</w:t>
            </w:r>
          </w:p>
        </w:tc>
        <w:tc>
          <w:tcPr>
            <w:tcW w:w="945" w:type="dxa"/>
            <w:vAlign w:val="center"/>
          </w:tcPr>
          <w:p w14:paraId="37F1EBB3" w14:textId="6632E4AB" w:rsidR="00E20635" w:rsidRPr="00E20635" w:rsidRDefault="00E20635" w:rsidP="00E20635">
            <w:pPr>
              <w:spacing w:after="0" w:line="240" w:lineRule="auto"/>
              <w:jc w:val="center"/>
              <w:rPr>
                <w:rFonts w:cs="Arial"/>
                <w:sz w:val="20"/>
              </w:rPr>
            </w:pPr>
            <w:r w:rsidRPr="00E20635">
              <w:rPr>
                <w:rFonts w:cs="Arial"/>
                <w:sz w:val="20"/>
              </w:rPr>
              <w:t>107</w:t>
            </w:r>
          </w:p>
        </w:tc>
        <w:tc>
          <w:tcPr>
            <w:tcW w:w="946" w:type="dxa"/>
            <w:vAlign w:val="center"/>
          </w:tcPr>
          <w:p w14:paraId="56EC0499" w14:textId="497B52FB" w:rsidR="00E20635" w:rsidRPr="00E20635" w:rsidRDefault="00E20635" w:rsidP="00E20635">
            <w:pPr>
              <w:spacing w:after="0" w:line="240" w:lineRule="auto"/>
              <w:jc w:val="center"/>
              <w:rPr>
                <w:rFonts w:cs="Arial"/>
                <w:sz w:val="20"/>
              </w:rPr>
            </w:pPr>
            <w:r w:rsidRPr="00E20635">
              <w:rPr>
                <w:rFonts w:cs="Arial"/>
                <w:sz w:val="20"/>
              </w:rPr>
              <w:t>118</w:t>
            </w:r>
          </w:p>
        </w:tc>
        <w:tc>
          <w:tcPr>
            <w:tcW w:w="945" w:type="dxa"/>
            <w:vAlign w:val="center"/>
          </w:tcPr>
          <w:p w14:paraId="377941DE" w14:textId="1B2B3F60" w:rsidR="00E20635" w:rsidRPr="00E20635" w:rsidRDefault="00E20635" w:rsidP="00E20635">
            <w:pPr>
              <w:spacing w:after="0" w:line="240" w:lineRule="auto"/>
              <w:jc w:val="center"/>
              <w:rPr>
                <w:rFonts w:cs="Arial"/>
                <w:sz w:val="20"/>
              </w:rPr>
            </w:pPr>
            <w:r w:rsidRPr="00E20635">
              <w:rPr>
                <w:rFonts w:cs="Arial"/>
                <w:sz w:val="20"/>
              </w:rPr>
              <w:t>80</w:t>
            </w:r>
          </w:p>
        </w:tc>
        <w:tc>
          <w:tcPr>
            <w:tcW w:w="946" w:type="dxa"/>
            <w:vAlign w:val="center"/>
          </w:tcPr>
          <w:p w14:paraId="41E0A4C9" w14:textId="652B17B2" w:rsidR="00E20635" w:rsidRPr="00E20635" w:rsidRDefault="00E20635" w:rsidP="00E20635">
            <w:pPr>
              <w:spacing w:after="0" w:line="240" w:lineRule="auto"/>
              <w:jc w:val="center"/>
              <w:rPr>
                <w:rFonts w:cs="Arial"/>
                <w:sz w:val="20"/>
              </w:rPr>
            </w:pPr>
            <w:r w:rsidRPr="00E20635">
              <w:rPr>
                <w:rFonts w:cs="Arial"/>
                <w:sz w:val="20"/>
              </w:rPr>
              <w:t>78</w:t>
            </w:r>
          </w:p>
        </w:tc>
        <w:tc>
          <w:tcPr>
            <w:tcW w:w="946" w:type="dxa"/>
            <w:vAlign w:val="center"/>
          </w:tcPr>
          <w:p w14:paraId="621E8344" w14:textId="4138EEFE" w:rsidR="00E20635" w:rsidRPr="00E20635" w:rsidRDefault="00E20635" w:rsidP="00E20635">
            <w:pPr>
              <w:spacing w:after="0" w:line="240" w:lineRule="auto"/>
              <w:jc w:val="center"/>
              <w:rPr>
                <w:rFonts w:cs="Arial"/>
                <w:sz w:val="20"/>
              </w:rPr>
            </w:pPr>
            <w:r w:rsidRPr="00E20635">
              <w:rPr>
                <w:rFonts w:cs="Arial"/>
                <w:sz w:val="20"/>
              </w:rPr>
              <w:t>91</w:t>
            </w:r>
          </w:p>
        </w:tc>
      </w:tr>
      <w:tr w:rsidR="00E20635" w:rsidRPr="00E20635" w14:paraId="318E2CFC" w14:textId="77777777" w:rsidTr="00E20635">
        <w:tc>
          <w:tcPr>
            <w:tcW w:w="2879" w:type="dxa"/>
            <w:vAlign w:val="center"/>
          </w:tcPr>
          <w:p w14:paraId="79A67DA3" w14:textId="77777777" w:rsidR="00E20635" w:rsidRPr="00E20635" w:rsidRDefault="00E20635" w:rsidP="00E20635">
            <w:pPr>
              <w:spacing w:after="0" w:line="240" w:lineRule="auto"/>
              <w:jc w:val="center"/>
              <w:rPr>
                <w:rFonts w:cs="Arial"/>
                <w:sz w:val="20"/>
              </w:rPr>
            </w:pPr>
            <w:r w:rsidRPr="00E20635">
              <w:rPr>
                <w:rFonts w:cs="Arial"/>
                <w:sz w:val="20"/>
              </w:rPr>
              <w:t>Udział w bójce lub pobiciu</w:t>
            </w:r>
          </w:p>
          <w:p w14:paraId="07E6F776" w14:textId="7DB0908D"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42B02968" w14:textId="40354C42" w:rsidR="00E20635" w:rsidRPr="00E20635" w:rsidRDefault="00E20635" w:rsidP="00E20635">
            <w:pPr>
              <w:spacing w:after="0" w:line="240" w:lineRule="auto"/>
              <w:jc w:val="center"/>
              <w:rPr>
                <w:rFonts w:cs="Arial"/>
                <w:sz w:val="20"/>
              </w:rPr>
            </w:pPr>
            <w:r w:rsidRPr="00E20635">
              <w:rPr>
                <w:rFonts w:cs="Arial"/>
                <w:sz w:val="20"/>
              </w:rPr>
              <w:t>545</w:t>
            </w:r>
          </w:p>
        </w:tc>
        <w:tc>
          <w:tcPr>
            <w:tcW w:w="946" w:type="dxa"/>
            <w:vAlign w:val="center"/>
          </w:tcPr>
          <w:p w14:paraId="7B3155D1" w14:textId="57BB4C7A" w:rsidR="00E20635" w:rsidRPr="00E20635" w:rsidRDefault="00E20635" w:rsidP="00E20635">
            <w:pPr>
              <w:spacing w:after="0" w:line="240" w:lineRule="auto"/>
              <w:jc w:val="center"/>
              <w:rPr>
                <w:rFonts w:cs="Arial"/>
                <w:sz w:val="20"/>
              </w:rPr>
            </w:pPr>
            <w:r w:rsidRPr="00E20635">
              <w:rPr>
                <w:rFonts w:cs="Arial"/>
                <w:sz w:val="20"/>
              </w:rPr>
              <w:t>537</w:t>
            </w:r>
          </w:p>
        </w:tc>
        <w:tc>
          <w:tcPr>
            <w:tcW w:w="945" w:type="dxa"/>
            <w:vAlign w:val="center"/>
          </w:tcPr>
          <w:p w14:paraId="2EB6275E" w14:textId="4771CF9E" w:rsidR="00E20635" w:rsidRPr="00E20635" w:rsidRDefault="00E20635" w:rsidP="00E20635">
            <w:pPr>
              <w:spacing w:after="0" w:line="240" w:lineRule="auto"/>
              <w:jc w:val="center"/>
              <w:rPr>
                <w:rFonts w:cs="Arial"/>
                <w:sz w:val="20"/>
              </w:rPr>
            </w:pPr>
            <w:r w:rsidRPr="00E20635">
              <w:rPr>
                <w:rFonts w:cs="Arial"/>
                <w:sz w:val="20"/>
              </w:rPr>
              <w:t>414</w:t>
            </w:r>
          </w:p>
        </w:tc>
        <w:tc>
          <w:tcPr>
            <w:tcW w:w="946" w:type="dxa"/>
            <w:vAlign w:val="center"/>
          </w:tcPr>
          <w:p w14:paraId="1D10FF1E" w14:textId="7436BE6E" w:rsidR="00E20635" w:rsidRPr="00E20635" w:rsidRDefault="00E20635" w:rsidP="00E20635">
            <w:pPr>
              <w:spacing w:after="0" w:line="240" w:lineRule="auto"/>
              <w:jc w:val="center"/>
              <w:rPr>
                <w:rFonts w:cs="Arial"/>
                <w:sz w:val="20"/>
              </w:rPr>
            </w:pPr>
            <w:r w:rsidRPr="00E20635">
              <w:rPr>
                <w:rFonts w:cs="Arial"/>
                <w:sz w:val="20"/>
              </w:rPr>
              <w:t>384</w:t>
            </w:r>
          </w:p>
        </w:tc>
        <w:tc>
          <w:tcPr>
            <w:tcW w:w="945" w:type="dxa"/>
            <w:vAlign w:val="center"/>
          </w:tcPr>
          <w:p w14:paraId="3017DDB1" w14:textId="73348096" w:rsidR="00E20635" w:rsidRPr="00E20635" w:rsidRDefault="00E20635" w:rsidP="00E20635">
            <w:pPr>
              <w:spacing w:after="0" w:line="240" w:lineRule="auto"/>
              <w:jc w:val="center"/>
              <w:rPr>
                <w:rFonts w:cs="Arial"/>
                <w:sz w:val="20"/>
              </w:rPr>
            </w:pPr>
            <w:r w:rsidRPr="00E20635">
              <w:rPr>
                <w:rFonts w:cs="Arial"/>
                <w:sz w:val="20"/>
              </w:rPr>
              <w:t>411</w:t>
            </w:r>
          </w:p>
        </w:tc>
        <w:tc>
          <w:tcPr>
            <w:tcW w:w="946" w:type="dxa"/>
            <w:vAlign w:val="center"/>
          </w:tcPr>
          <w:p w14:paraId="1EA0A732" w14:textId="4035F9CC" w:rsidR="00E20635" w:rsidRPr="00E20635" w:rsidRDefault="00E20635" w:rsidP="00E20635">
            <w:pPr>
              <w:spacing w:after="0" w:line="240" w:lineRule="auto"/>
              <w:jc w:val="center"/>
              <w:rPr>
                <w:rFonts w:cs="Arial"/>
                <w:sz w:val="20"/>
              </w:rPr>
            </w:pPr>
            <w:r w:rsidRPr="00E20635">
              <w:rPr>
                <w:rFonts w:cs="Arial"/>
                <w:sz w:val="20"/>
              </w:rPr>
              <w:t>324</w:t>
            </w:r>
          </w:p>
        </w:tc>
        <w:tc>
          <w:tcPr>
            <w:tcW w:w="946" w:type="dxa"/>
            <w:vAlign w:val="center"/>
          </w:tcPr>
          <w:p w14:paraId="143ADF1E" w14:textId="71BCD1F6" w:rsidR="00E20635" w:rsidRPr="00E20635" w:rsidRDefault="00E20635" w:rsidP="00E20635">
            <w:pPr>
              <w:spacing w:after="0" w:line="240" w:lineRule="auto"/>
              <w:jc w:val="center"/>
              <w:rPr>
                <w:rFonts w:cs="Arial"/>
                <w:sz w:val="20"/>
              </w:rPr>
            </w:pPr>
            <w:r w:rsidRPr="00E20635">
              <w:rPr>
                <w:rFonts w:cs="Arial"/>
                <w:sz w:val="20"/>
              </w:rPr>
              <w:t>421</w:t>
            </w:r>
          </w:p>
        </w:tc>
      </w:tr>
      <w:tr w:rsidR="00E20635" w:rsidRPr="00E20635" w14:paraId="44A73181" w14:textId="77777777" w:rsidTr="00E20635">
        <w:tc>
          <w:tcPr>
            <w:tcW w:w="2879" w:type="dxa"/>
            <w:vAlign w:val="center"/>
          </w:tcPr>
          <w:p w14:paraId="769BA8B5" w14:textId="77777777" w:rsidR="00E20635" w:rsidRPr="00E20635" w:rsidRDefault="00E20635" w:rsidP="00E20635">
            <w:pPr>
              <w:spacing w:after="0" w:line="240" w:lineRule="auto"/>
              <w:jc w:val="center"/>
              <w:rPr>
                <w:rFonts w:cs="Arial"/>
                <w:sz w:val="20"/>
              </w:rPr>
            </w:pPr>
            <w:r w:rsidRPr="00E20635">
              <w:rPr>
                <w:rFonts w:cs="Arial"/>
                <w:sz w:val="20"/>
              </w:rPr>
              <w:t>Udział w bójce lub pobiciu</w:t>
            </w:r>
          </w:p>
          <w:p w14:paraId="56C6755B" w14:textId="4DC41663"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1690FFB3" w14:textId="73CFB5D0" w:rsidR="00E20635" w:rsidRPr="00E20635" w:rsidRDefault="00E20635" w:rsidP="00E20635">
            <w:pPr>
              <w:spacing w:after="0" w:line="240" w:lineRule="auto"/>
              <w:jc w:val="center"/>
              <w:rPr>
                <w:rFonts w:cs="Arial"/>
                <w:sz w:val="20"/>
              </w:rPr>
            </w:pPr>
            <w:r w:rsidRPr="00E20635">
              <w:rPr>
                <w:rFonts w:cs="Arial"/>
                <w:sz w:val="20"/>
              </w:rPr>
              <w:t>139</w:t>
            </w:r>
          </w:p>
        </w:tc>
        <w:tc>
          <w:tcPr>
            <w:tcW w:w="946" w:type="dxa"/>
            <w:vAlign w:val="center"/>
          </w:tcPr>
          <w:p w14:paraId="53AE2F1F" w14:textId="027ED8B0" w:rsidR="00E20635" w:rsidRPr="00E20635" w:rsidRDefault="00E20635" w:rsidP="00E20635">
            <w:pPr>
              <w:spacing w:after="0" w:line="240" w:lineRule="auto"/>
              <w:jc w:val="center"/>
              <w:rPr>
                <w:rFonts w:cs="Arial"/>
                <w:sz w:val="20"/>
              </w:rPr>
            </w:pPr>
            <w:r w:rsidRPr="00E20635">
              <w:rPr>
                <w:rFonts w:cs="Arial"/>
                <w:sz w:val="20"/>
              </w:rPr>
              <w:t>99</w:t>
            </w:r>
          </w:p>
        </w:tc>
        <w:tc>
          <w:tcPr>
            <w:tcW w:w="945" w:type="dxa"/>
            <w:vAlign w:val="center"/>
          </w:tcPr>
          <w:p w14:paraId="5C52A1D6" w14:textId="574B8F9C" w:rsidR="00E20635" w:rsidRPr="00E20635" w:rsidRDefault="00E20635" w:rsidP="00E20635">
            <w:pPr>
              <w:spacing w:after="0" w:line="240" w:lineRule="auto"/>
              <w:jc w:val="center"/>
              <w:rPr>
                <w:rFonts w:cs="Arial"/>
                <w:sz w:val="20"/>
              </w:rPr>
            </w:pPr>
            <w:r w:rsidRPr="00E20635">
              <w:rPr>
                <w:rFonts w:cs="Arial"/>
                <w:sz w:val="20"/>
              </w:rPr>
              <w:t>77</w:t>
            </w:r>
          </w:p>
        </w:tc>
        <w:tc>
          <w:tcPr>
            <w:tcW w:w="946" w:type="dxa"/>
            <w:vAlign w:val="center"/>
          </w:tcPr>
          <w:p w14:paraId="691765F5" w14:textId="08D12BF2" w:rsidR="00E20635" w:rsidRPr="00E20635" w:rsidRDefault="00E20635" w:rsidP="00E20635">
            <w:pPr>
              <w:spacing w:after="0" w:line="240" w:lineRule="auto"/>
              <w:jc w:val="center"/>
              <w:rPr>
                <w:rFonts w:cs="Arial"/>
                <w:sz w:val="20"/>
              </w:rPr>
            </w:pPr>
            <w:r w:rsidRPr="00E20635">
              <w:rPr>
                <w:rFonts w:cs="Arial"/>
                <w:sz w:val="20"/>
              </w:rPr>
              <w:t>66</w:t>
            </w:r>
          </w:p>
        </w:tc>
        <w:tc>
          <w:tcPr>
            <w:tcW w:w="945" w:type="dxa"/>
            <w:vAlign w:val="center"/>
          </w:tcPr>
          <w:p w14:paraId="41AF5254" w14:textId="5B8F85FB" w:rsidR="00E20635" w:rsidRPr="00E20635" w:rsidRDefault="00E20635" w:rsidP="00E20635">
            <w:pPr>
              <w:spacing w:after="0" w:line="240" w:lineRule="auto"/>
              <w:jc w:val="center"/>
              <w:rPr>
                <w:rFonts w:cs="Arial"/>
                <w:sz w:val="20"/>
              </w:rPr>
            </w:pPr>
            <w:r w:rsidRPr="00E20635">
              <w:rPr>
                <w:rFonts w:cs="Arial"/>
                <w:sz w:val="20"/>
              </w:rPr>
              <w:t>94</w:t>
            </w:r>
          </w:p>
        </w:tc>
        <w:tc>
          <w:tcPr>
            <w:tcW w:w="946" w:type="dxa"/>
            <w:vAlign w:val="center"/>
          </w:tcPr>
          <w:p w14:paraId="7DF630AF" w14:textId="2C13C853" w:rsidR="00E20635" w:rsidRPr="00E20635" w:rsidRDefault="00E20635" w:rsidP="00E20635">
            <w:pPr>
              <w:spacing w:after="0" w:line="240" w:lineRule="auto"/>
              <w:jc w:val="center"/>
              <w:rPr>
                <w:rFonts w:cs="Arial"/>
                <w:sz w:val="20"/>
              </w:rPr>
            </w:pPr>
            <w:r w:rsidRPr="00E20635">
              <w:rPr>
                <w:rFonts w:cs="Arial"/>
                <w:sz w:val="20"/>
              </w:rPr>
              <w:t>37</w:t>
            </w:r>
          </w:p>
        </w:tc>
        <w:tc>
          <w:tcPr>
            <w:tcW w:w="946" w:type="dxa"/>
            <w:vAlign w:val="center"/>
          </w:tcPr>
          <w:p w14:paraId="68B6B769" w14:textId="0DF8DF56" w:rsidR="00E20635" w:rsidRPr="00E20635" w:rsidRDefault="00E20635" w:rsidP="00E20635">
            <w:pPr>
              <w:spacing w:after="0" w:line="240" w:lineRule="auto"/>
              <w:jc w:val="center"/>
              <w:rPr>
                <w:rFonts w:cs="Arial"/>
                <w:sz w:val="20"/>
              </w:rPr>
            </w:pPr>
            <w:r w:rsidRPr="00E20635">
              <w:rPr>
                <w:rFonts w:cs="Arial"/>
                <w:sz w:val="20"/>
              </w:rPr>
              <w:t>84</w:t>
            </w:r>
          </w:p>
        </w:tc>
      </w:tr>
      <w:tr w:rsidR="00E20635" w:rsidRPr="00E20635" w14:paraId="5ED40288" w14:textId="77777777" w:rsidTr="00E20635">
        <w:tc>
          <w:tcPr>
            <w:tcW w:w="2879" w:type="dxa"/>
            <w:vAlign w:val="center"/>
          </w:tcPr>
          <w:p w14:paraId="7C32B7F9" w14:textId="77777777" w:rsidR="00E20635" w:rsidRPr="00E20635" w:rsidRDefault="00E20635" w:rsidP="00E20635">
            <w:pPr>
              <w:spacing w:after="0" w:line="240" w:lineRule="auto"/>
              <w:jc w:val="center"/>
              <w:rPr>
                <w:rFonts w:cs="Arial"/>
                <w:sz w:val="20"/>
              </w:rPr>
            </w:pPr>
            <w:r w:rsidRPr="00E20635">
              <w:rPr>
                <w:rFonts w:cs="Arial"/>
                <w:sz w:val="20"/>
              </w:rPr>
              <w:t>Zgwałcenia</w:t>
            </w:r>
          </w:p>
          <w:p w14:paraId="24D72774" w14:textId="27D046A4" w:rsidR="00E20635" w:rsidRPr="00E20635" w:rsidRDefault="00E20635" w:rsidP="00E20635">
            <w:pPr>
              <w:spacing w:after="0" w:line="240" w:lineRule="auto"/>
              <w:jc w:val="center"/>
              <w:rPr>
                <w:rFonts w:cs="Arial"/>
                <w:sz w:val="20"/>
              </w:rPr>
            </w:pPr>
            <w:r w:rsidRPr="00E20635">
              <w:rPr>
                <w:rFonts w:cs="Arial"/>
                <w:sz w:val="20"/>
              </w:rPr>
              <w:lastRenderedPageBreak/>
              <w:t>(Podejrzani ogółem)</w:t>
            </w:r>
          </w:p>
        </w:tc>
        <w:tc>
          <w:tcPr>
            <w:tcW w:w="945" w:type="dxa"/>
            <w:vAlign w:val="center"/>
          </w:tcPr>
          <w:p w14:paraId="6D116388" w14:textId="1F9CAF26" w:rsidR="00E20635" w:rsidRPr="00E20635" w:rsidRDefault="00E20635" w:rsidP="00E20635">
            <w:pPr>
              <w:spacing w:after="0" w:line="240" w:lineRule="auto"/>
              <w:jc w:val="center"/>
              <w:rPr>
                <w:rFonts w:cs="Arial"/>
                <w:sz w:val="20"/>
              </w:rPr>
            </w:pPr>
            <w:r w:rsidRPr="00E20635">
              <w:rPr>
                <w:rFonts w:cs="Arial"/>
                <w:sz w:val="20"/>
              </w:rPr>
              <w:lastRenderedPageBreak/>
              <w:t>75</w:t>
            </w:r>
          </w:p>
        </w:tc>
        <w:tc>
          <w:tcPr>
            <w:tcW w:w="946" w:type="dxa"/>
            <w:vAlign w:val="center"/>
          </w:tcPr>
          <w:p w14:paraId="4F2442CE" w14:textId="58F81487" w:rsidR="00E20635" w:rsidRPr="00E20635" w:rsidRDefault="00E20635" w:rsidP="00E20635">
            <w:pPr>
              <w:spacing w:after="0" w:line="240" w:lineRule="auto"/>
              <w:jc w:val="center"/>
              <w:rPr>
                <w:rFonts w:cs="Arial"/>
                <w:sz w:val="20"/>
              </w:rPr>
            </w:pPr>
            <w:r w:rsidRPr="00E20635">
              <w:rPr>
                <w:rFonts w:cs="Arial"/>
                <w:sz w:val="20"/>
              </w:rPr>
              <w:t>86</w:t>
            </w:r>
          </w:p>
        </w:tc>
        <w:tc>
          <w:tcPr>
            <w:tcW w:w="945" w:type="dxa"/>
            <w:vAlign w:val="center"/>
          </w:tcPr>
          <w:p w14:paraId="3D23AFFA" w14:textId="40386313" w:rsidR="00E20635" w:rsidRPr="00E20635" w:rsidRDefault="00E20635" w:rsidP="00E20635">
            <w:pPr>
              <w:spacing w:after="0" w:line="240" w:lineRule="auto"/>
              <w:jc w:val="center"/>
              <w:rPr>
                <w:rFonts w:cs="Arial"/>
                <w:sz w:val="20"/>
              </w:rPr>
            </w:pPr>
            <w:r w:rsidRPr="00E20635">
              <w:rPr>
                <w:rFonts w:cs="Arial"/>
                <w:sz w:val="20"/>
              </w:rPr>
              <w:t>74</w:t>
            </w:r>
          </w:p>
        </w:tc>
        <w:tc>
          <w:tcPr>
            <w:tcW w:w="946" w:type="dxa"/>
            <w:vAlign w:val="center"/>
          </w:tcPr>
          <w:p w14:paraId="1D22ED2D" w14:textId="4E3D962F" w:rsidR="00E20635" w:rsidRPr="00E20635" w:rsidRDefault="00E20635" w:rsidP="00E20635">
            <w:pPr>
              <w:spacing w:after="0" w:line="240" w:lineRule="auto"/>
              <w:jc w:val="center"/>
              <w:rPr>
                <w:rFonts w:cs="Arial"/>
                <w:sz w:val="20"/>
              </w:rPr>
            </w:pPr>
            <w:r w:rsidRPr="00E20635">
              <w:rPr>
                <w:rFonts w:cs="Arial"/>
                <w:sz w:val="20"/>
              </w:rPr>
              <w:t>72</w:t>
            </w:r>
          </w:p>
        </w:tc>
        <w:tc>
          <w:tcPr>
            <w:tcW w:w="945" w:type="dxa"/>
            <w:vAlign w:val="center"/>
          </w:tcPr>
          <w:p w14:paraId="5FF1ABA4" w14:textId="2BB77173" w:rsidR="00E20635" w:rsidRPr="00E20635" w:rsidRDefault="00E20635" w:rsidP="00E20635">
            <w:pPr>
              <w:spacing w:after="0" w:line="240" w:lineRule="auto"/>
              <w:jc w:val="center"/>
              <w:rPr>
                <w:rFonts w:cs="Arial"/>
                <w:sz w:val="20"/>
              </w:rPr>
            </w:pPr>
            <w:r w:rsidRPr="00E20635">
              <w:rPr>
                <w:rFonts w:cs="Arial"/>
                <w:sz w:val="20"/>
              </w:rPr>
              <w:t>46</w:t>
            </w:r>
          </w:p>
        </w:tc>
        <w:tc>
          <w:tcPr>
            <w:tcW w:w="946" w:type="dxa"/>
            <w:vAlign w:val="center"/>
          </w:tcPr>
          <w:p w14:paraId="555299AE" w14:textId="37882397" w:rsidR="00E20635" w:rsidRPr="00E20635" w:rsidRDefault="00E20635" w:rsidP="00E20635">
            <w:pPr>
              <w:spacing w:after="0" w:line="240" w:lineRule="auto"/>
              <w:jc w:val="center"/>
              <w:rPr>
                <w:rFonts w:cs="Arial"/>
                <w:sz w:val="20"/>
              </w:rPr>
            </w:pPr>
            <w:r w:rsidRPr="00E20635">
              <w:rPr>
                <w:rFonts w:cs="Arial"/>
                <w:sz w:val="20"/>
              </w:rPr>
              <w:t>37</w:t>
            </w:r>
          </w:p>
        </w:tc>
        <w:tc>
          <w:tcPr>
            <w:tcW w:w="946" w:type="dxa"/>
            <w:vAlign w:val="center"/>
          </w:tcPr>
          <w:p w14:paraId="5CDE7FA7" w14:textId="7CCA3763" w:rsidR="00E20635" w:rsidRPr="00E20635" w:rsidRDefault="00E20635" w:rsidP="00E20635">
            <w:pPr>
              <w:spacing w:after="0" w:line="240" w:lineRule="auto"/>
              <w:jc w:val="center"/>
              <w:rPr>
                <w:rFonts w:cs="Arial"/>
                <w:sz w:val="20"/>
              </w:rPr>
            </w:pPr>
            <w:r w:rsidRPr="00E20635">
              <w:rPr>
                <w:rFonts w:cs="Arial"/>
                <w:sz w:val="20"/>
              </w:rPr>
              <w:t>42</w:t>
            </w:r>
          </w:p>
        </w:tc>
      </w:tr>
      <w:tr w:rsidR="00E20635" w:rsidRPr="00E20635" w14:paraId="6CC3146E" w14:textId="77777777" w:rsidTr="00E20635">
        <w:tc>
          <w:tcPr>
            <w:tcW w:w="2879" w:type="dxa"/>
            <w:vAlign w:val="center"/>
          </w:tcPr>
          <w:p w14:paraId="799F8D61" w14:textId="77777777" w:rsidR="00E20635" w:rsidRPr="00E20635" w:rsidRDefault="00E20635" w:rsidP="00E20635">
            <w:pPr>
              <w:spacing w:after="0" w:line="240" w:lineRule="auto"/>
              <w:jc w:val="center"/>
              <w:rPr>
                <w:rFonts w:cs="Arial"/>
                <w:sz w:val="20"/>
              </w:rPr>
            </w:pPr>
            <w:r w:rsidRPr="00E20635">
              <w:rPr>
                <w:rFonts w:cs="Arial"/>
                <w:sz w:val="20"/>
              </w:rPr>
              <w:t>Zgwałcenia</w:t>
            </w:r>
          </w:p>
          <w:p w14:paraId="2F5930BB" w14:textId="2B6FC32E"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0BAF3986" w14:textId="74BBC181" w:rsidR="00E20635" w:rsidRPr="00E20635" w:rsidRDefault="00E20635" w:rsidP="00E20635">
            <w:pPr>
              <w:spacing w:after="0" w:line="240" w:lineRule="auto"/>
              <w:jc w:val="center"/>
              <w:rPr>
                <w:rFonts w:cs="Arial"/>
                <w:sz w:val="20"/>
              </w:rPr>
            </w:pPr>
            <w:r w:rsidRPr="00E20635">
              <w:rPr>
                <w:rFonts w:cs="Arial"/>
                <w:sz w:val="20"/>
              </w:rPr>
              <w:t>13</w:t>
            </w:r>
          </w:p>
        </w:tc>
        <w:tc>
          <w:tcPr>
            <w:tcW w:w="946" w:type="dxa"/>
            <w:vAlign w:val="center"/>
          </w:tcPr>
          <w:p w14:paraId="5C3E7703" w14:textId="61FB6B78" w:rsidR="00E20635" w:rsidRPr="00E20635" w:rsidRDefault="00E20635" w:rsidP="00E20635">
            <w:pPr>
              <w:spacing w:after="0" w:line="240" w:lineRule="auto"/>
              <w:jc w:val="center"/>
              <w:rPr>
                <w:rFonts w:cs="Arial"/>
                <w:sz w:val="20"/>
              </w:rPr>
            </w:pPr>
            <w:r w:rsidRPr="00E20635">
              <w:rPr>
                <w:rFonts w:cs="Arial"/>
                <w:sz w:val="20"/>
              </w:rPr>
              <w:t>21</w:t>
            </w:r>
          </w:p>
        </w:tc>
        <w:tc>
          <w:tcPr>
            <w:tcW w:w="945" w:type="dxa"/>
            <w:vAlign w:val="center"/>
          </w:tcPr>
          <w:p w14:paraId="636883CE" w14:textId="0556D34F" w:rsidR="00E20635" w:rsidRPr="00E20635" w:rsidRDefault="00E20635" w:rsidP="00E20635">
            <w:pPr>
              <w:spacing w:after="0" w:line="240" w:lineRule="auto"/>
              <w:jc w:val="center"/>
              <w:rPr>
                <w:rFonts w:cs="Arial"/>
                <w:sz w:val="20"/>
              </w:rPr>
            </w:pPr>
            <w:r w:rsidRPr="00E20635">
              <w:rPr>
                <w:rFonts w:cs="Arial"/>
                <w:sz w:val="20"/>
              </w:rPr>
              <w:t>15</w:t>
            </w:r>
          </w:p>
        </w:tc>
        <w:tc>
          <w:tcPr>
            <w:tcW w:w="946" w:type="dxa"/>
            <w:vAlign w:val="center"/>
          </w:tcPr>
          <w:p w14:paraId="3B956E3F" w14:textId="6EF522B6" w:rsidR="00E20635" w:rsidRPr="00E20635" w:rsidRDefault="00E20635" w:rsidP="00E20635">
            <w:pPr>
              <w:spacing w:after="0" w:line="240" w:lineRule="auto"/>
              <w:jc w:val="center"/>
              <w:rPr>
                <w:rFonts w:cs="Arial"/>
                <w:sz w:val="20"/>
              </w:rPr>
            </w:pPr>
            <w:r w:rsidRPr="00E20635">
              <w:rPr>
                <w:rFonts w:cs="Arial"/>
                <w:sz w:val="20"/>
              </w:rPr>
              <w:t>6</w:t>
            </w:r>
          </w:p>
        </w:tc>
        <w:tc>
          <w:tcPr>
            <w:tcW w:w="945" w:type="dxa"/>
            <w:vAlign w:val="center"/>
          </w:tcPr>
          <w:p w14:paraId="6EB33CC1" w14:textId="4D4195FB" w:rsidR="00E20635" w:rsidRPr="00E20635" w:rsidRDefault="00E20635" w:rsidP="00E20635">
            <w:pPr>
              <w:spacing w:after="0" w:line="240" w:lineRule="auto"/>
              <w:jc w:val="center"/>
              <w:rPr>
                <w:rFonts w:cs="Arial"/>
                <w:sz w:val="20"/>
              </w:rPr>
            </w:pPr>
            <w:r w:rsidRPr="00E20635">
              <w:rPr>
                <w:rFonts w:cs="Arial"/>
                <w:sz w:val="20"/>
              </w:rPr>
              <w:t>9</w:t>
            </w:r>
          </w:p>
        </w:tc>
        <w:tc>
          <w:tcPr>
            <w:tcW w:w="946" w:type="dxa"/>
            <w:vAlign w:val="center"/>
          </w:tcPr>
          <w:p w14:paraId="6D2E9818" w14:textId="68238D61" w:rsidR="00E20635" w:rsidRPr="00E20635" w:rsidRDefault="00E20635" w:rsidP="00E20635">
            <w:pPr>
              <w:spacing w:after="0" w:line="240" w:lineRule="auto"/>
              <w:jc w:val="center"/>
              <w:rPr>
                <w:rFonts w:cs="Arial"/>
                <w:sz w:val="20"/>
              </w:rPr>
            </w:pPr>
            <w:r w:rsidRPr="00E20635">
              <w:rPr>
                <w:rFonts w:cs="Arial"/>
                <w:sz w:val="20"/>
              </w:rPr>
              <w:t>7</w:t>
            </w:r>
          </w:p>
        </w:tc>
        <w:tc>
          <w:tcPr>
            <w:tcW w:w="946" w:type="dxa"/>
            <w:vAlign w:val="center"/>
          </w:tcPr>
          <w:p w14:paraId="2F8DC4C9" w14:textId="36F3C237" w:rsidR="00E20635" w:rsidRPr="00E20635" w:rsidRDefault="00E20635" w:rsidP="00E20635">
            <w:pPr>
              <w:spacing w:after="0" w:line="240" w:lineRule="auto"/>
              <w:jc w:val="center"/>
              <w:rPr>
                <w:rFonts w:cs="Arial"/>
                <w:sz w:val="20"/>
              </w:rPr>
            </w:pPr>
            <w:r w:rsidRPr="00E20635">
              <w:rPr>
                <w:rFonts w:cs="Arial"/>
                <w:sz w:val="20"/>
              </w:rPr>
              <w:t>5</w:t>
            </w:r>
          </w:p>
        </w:tc>
      </w:tr>
      <w:tr w:rsidR="00E20635" w:rsidRPr="00E20635" w14:paraId="0334F6D2" w14:textId="77777777" w:rsidTr="00E20635">
        <w:tc>
          <w:tcPr>
            <w:tcW w:w="2879" w:type="dxa"/>
            <w:vAlign w:val="center"/>
          </w:tcPr>
          <w:p w14:paraId="1A001AF7" w14:textId="77777777" w:rsidR="00E20635" w:rsidRPr="00E20635" w:rsidRDefault="00E20635" w:rsidP="00E20635">
            <w:pPr>
              <w:spacing w:after="0" w:line="240" w:lineRule="auto"/>
              <w:jc w:val="center"/>
              <w:rPr>
                <w:rFonts w:cs="Arial"/>
                <w:sz w:val="20"/>
              </w:rPr>
            </w:pPr>
            <w:r w:rsidRPr="00E20635">
              <w:rPr>
                <w:rFonts w:cs="Arial"/>
                <w:sz w:val="20"/>
              </w:rPr>
              <w:t>Kradzież cudzej rzeczy</w:t>
            </w:r>
          </w:p>
          <w:p w14:paraId="74F8C938" w14:textId="6E219939"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074C716B" w14:textId="38367410" w:rsidR="00E20635" w:rsidRPr="00E20635" w:rsidRDefault="00E20635" w:rsidP="00E20635">
            <w:pPr>
              <w:spacing w:after="0" w:line="240" w:lineRule="auto"/>
              <w:jc w:val="center"/>
              <w:rPr>
                <w:rFonts w:cs="Arial"/>
                <w:sz w:val="20"/>
              </w:rPr>
            </w:pPr>
            <w:r w:rsidRPr="00E20635">
              <w:rPr>
                <w:rFonts w:cs="Arial"/>
                <w:sz w:val="20"/>
              </w:rPr>
              <w:t>1</w:t>
            </w:r>
            <w:r w:rsidR="00067565">
              <w:rPr>
                <w:rFonts w:cs="Arial"/>
                <w:sz w:val="20"/>
              </w:rPr>
              <w:t xml:space="preserve"> </w:t>
            </w:r>
            <w:r w:rsidRPr="00E20635">
              <w:rPr>
                <w:rFonts w:cs="Arial"/>
                <w:sz w:val="20"/>
              </w:rPr>
              <w:t>500</w:t>
            </w:r>
          </w:p>
        </w:tc>
        <w:tc>
          <w:tcPr>
            <w:tcW w:w="946" w:type="dxa"/>
            <w:vAlign w:val="center"/>
          </w:tcPr>
          <w:p w14:paraId="1AA7C3F4" w14:textId="1C0F4CE0" w:rsidR="00E20635" w:rsidRPr="00E20635" w:rsidRDefault="00E20635" w:rsidP="00E20635">
            <w:pPr>
              <w:spacing w:after="0" w:line="240" w:lineRule="auto"/>
              <w:jc w:val="center"/>
              <w:rPr>
                <w:rFonts w:cs="Arial"/>
                <w:sz w:val="20"/>
              </w:rPr>
            </w:pPr>
            <w:r w:rsidRPr="00E20635">
              <w:rPr>
                <w:rFonts w:cs="Arial"/>
                <w:sz w:val="20"/>
              </w:rPr>
              <w:t>1</w:t>
            </w:r>
            <w:r w:rsidR="00067565">
              <w:rPr>
                <w:rFonts w:cs="Arial"/>
                <w:sz w:val="20"/>
              </w:rPr>
              <w:t xml:space="preserve"> </w:t>
            </w:r>
            <w:r w:rsidRPr="00E20635">
              <w:rPr>
                <w:rFonts w:cs="Arial"/>
                <w:sz w:val="20"/>
              </w:rPr>
              <w:t>238</w:t>
            </w:r>
          </w:p>
        </w:tc>
        <w:tc>
          <w:tcPr>
            <w:tcW w:w="945" w:type="dxa"/>
            <w:vAlign w:val="center"/>
          </w:tcPr>
          <w:p w14:paraId="31153651" w14:textId="1204F6A8" w:rsidR="00E20635" w:rsidRPr="00E20635" w:rsidRDefault="00E20635" w:rsidP="00E20635">
            <w:pPr>
              <w:spacing w:after="0" w:line="240" w:lineRule="auto"/>
              <w:jc w:val="center"/>
              <w:rPr>
                <w:rFonts w:cs="Arial"/>
                <w:sz w:val="20"/>
              </w:rPr>
            </w:pPr>
            <w:r w:rsidRPr="00E20635">
              <w:rPr>
                <w:rFonts w:cs="Arial"/>
                <w:sz w:val="20"/>
              </w:rPr>
              <w:t>1</w:t>
            </w:r>
            <w:r w:rsidR="00067565">
              <w:rPr>
                <w:rFonts w:cs="Arial"/>
                <w:sz w:val="20"/>
              </w:rPr>
              <w:t xml:space="preserve"> </w:t>
            </w:r>
            <w:r w:rsidRPr="00E20635">
              <w:rPr>
                <w:rFonts w:cs="Arial"/>
                <w:sz w:val="20"/>
              </w:rPr>
              <w:t>286</w:t>
            </w:r>
          </w:p>
        </w:tc>
        <w:tc>
          <w:tcPr>
            <w:tcW w:w="946" w:type="dxa"/>
            <w:vAlign w:val="center"/>
          </w:tcPr>
          <w:p w14:paraId="15D190A1" w14:textId="1B4EFDEC" w:rsidR="00E20635" w:rsidRPr="00E20635" w:rsidRDefault="00E20635" w:rsidP="00E20635">
            <w:pPr>
              <w:spacing w:after="0" w:line="240" w:lineRule="auto"/>
              <w:jc w:val="center"/>
              <w:rPr>
                <w:rFonts w:cs="Arial"/>
                <w:sz w:val="20"/>
              </w:rPr>
            </w:pPr>
            <w:r w:rsidRPr="00E20635">
              <w:rPr>
                <w:rFonts w:cs="Arial"/>
                <w:sz w:val="20"/>
              </w:rPr>
              <w:t>1 378</w:t>
            </w:r>
          </w:p>
        </w:tc>
        <w:tc>
          <w:tcPr>
            <w:tcW w:w="945" w:type="dxa"/>
            <w:vAlign w:val="center"/>
          </w:tcPr>
          <w:p w14:paraId="23A623BE" w14:textId="6377573B" w:rsidR="00E20635" w:rsidRPr="00E20635" w:rsidRDefault="00E20635" w:rsidP="00E20635">
            <w:pPr>
              <w:spacing w:after="0" w:line="240" w:lineRule="auto"/>
              <w:jc w:val="center"/>
              <w:rPr>
                <w:rFonts w:cs="Arial"/>
                <w:sz w:val="20"/>
              </w:rPr>
            </w:pPr>
            <w:r w:rsidRPr="00E20635">
              <w:rPr>
                <w:rFonts w:cs="Arial"/>
                <w:sz w:val="20"/>
              </w:rPr>
              <w:t>1</w:t>
            </w:r>
            <w:r w:rsidR="00067565">
              <w:rPr>
                <w:rFonts w:cs="Arial"/>
                <w:sz w:val="20"/>
              </w:rPr>
              <w:t xml:space="preserve"> </w:t>
            </w:r>
            <w:r w:rsidRPr="00E20635">
              <w:rPr>
                <w:rFonts w:cs="Arial"/>
                <w:sz w:val="20"/>
              </w:rPr>
              <w:t>312</w:t>
            </w:r>
          </w:p>
        </w:tc>
        <w:tc>
          <w:tcPr>
            <w:tcW w:w="946" w:type="dxa"/>
            <w:vAlign w:val="center"/>
          </w:tcPr>
          <w:p w14:paraId="37B5ECCB" w14:textId="745A6838" w:rsidR="00E20635" w:rsidRPr="00E20635" w:rsidRDefault="00E20635" w:rsidP="00E20635">
            <w:pPr>
              <w:spacing w:after="0" w:line="240" w:lineRule="auto"/>
              <w:jc w:val="center"/>
              <w:rPr>
                <w:rFonts w:cs="Arial"/>
                <w:sz w:val="20"/>
              </w:rPr>
            </w:pPr>
            <w:r w:rsidRPr="00E20635">
              <w:rPr>
                <w:rFonts w:cs="Arial"/>
                <w:sz w:val="20"/>
              </w:rPr>
              <w:t>1</w:t>
            </w:r>
            <w:r w:rsidR="00067565">
              <w:rPr>
                <w:rFonts w:cs="Arial"/>
                <w:sz w:val="20"/>
              </w:rPr>
              <w:t xml:space="preserve"> </w:t>
            </w:r>
            <w:r w:rsidRPr="00E20635">
              <w:rPr>
                <w:rFonts w:cs="Arial"/>
                <w:sz w:val="20"/>
              </w:rPr>
              <w:t>313</w:t>
            </w:r>
          </w:p>
        </w:tc>
        <w:tc>
          <w:tcPr>
            <w:tcW w:w="946" w:type="dxa"/>
            <w:vAlign w:val="center"/>
          </w:tcPr>
          <w:p w14:paraId="5949E722" w14:textId="4B5D1ADD" w:rsidR="00E20635" w:rsidRPr="00E20635" w:rsidRDefault="00E20635" w:rsidP="00E20635">
            <w:pPr>
              <w:spacing w:after="0" w:line="240" w:lineRule="auto"/>
              <w:jc w:val="center"/>
              <w:rPr>
                <w:rFonts w:cs="Arial"/>
                <w:sz w:val="20"/>
              </w:rPr>
            </w:pPr>
            <w:r w:rsidRPr="00E20635">
              <w:rPr>
                <w:rFonts w:cs="Arial"/>
                <w:sz w:val="20"/>
              </w:rPr>
              <w:t>1</w:t>
            </w:r>
            <w:r w:rsidR="00067565">
              <w:rPr>
                <w:rFonts w:cs="Arial"/>
                <w:sz w:val="20"/>
              </w:rPr>
              <w:t xml:space="preserve"> </w:t>
            </w:r>
            <w:r w:rsidRPr="00E20635">
              <w:rPr>
                <w:rFonts w:cs="Arial"/>
                <w:sz w:val="20"/>
              </w:rPr>
              <w:t>028</w:t>
            </w:r>
          </w:p>
        </w:tc>
      </w:tr>
      <w:tr w:rsidR="00E20635" w:rsidRPr="00E20635" w14:paraId="7256BFC0" w14:textId="77777777" w:rsidTr="00E20635">
        <w:tc>
          <w:tcPr>
            <w:tcW w:w="2879" w:type="dxa"/>
            <w:vAlign w:val="center"/>
          </w:tcPr>
          <w:p w14:paraId="123F72B1" w14:textId="77777777" w:rsidR="00E20635" w:rsidRPr="00E20635" w:rsidRDefault="00E20635" w:rsidP="00E20635">
            <w:pPr>
              <w:spacing w:after="0" w:line="240" w:lineRule="auto"/>
              <w:jc w:val="center"/>
              <w:rPr>
                <w:rFonts w:cs="Arial"/>
                <w:sz w:val="20"/>
              </w:rPr>
            </w:pPr>
            <w:r w:rsidRPr="00E20635">
              <w:rPr>
                <w:rFonts w:cs="Arial"/>
                <w:sz w:val="20"/>
              </w:rPr>
              <w:t>Kradzież cudzej rzeczy</w:t>
            </w:r>
          </w:p>
          <w:p w14:paraId="32CA3D65" w14:textId="4D09F66C"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13A20FCE" w14:textId="2F3A8B78" w:rsidR="00E20635" w:rsidRPr="00E20635" w:rsidRDefault="00E20635" w:rsidP="00E20635">
            <w:pPr>
              <w:spacing w:after="0" w:line="240" w:lineRule="auto"/>
              <w:jc w:val="center"/>
              <w:rPr>
                <w:rFonts w:cs="Arial"/>
                <w:sz w:val="20"/>
              </w:rPr>
            </w:pPr>
            <w:r w:rsidRPr="00E20635">
              <w:rPr>
                <w:rFonts w:cs="Arial"/>
                <w:sz w:val="20"/>
              </w:rPr>
              <w:t>107</w:t>
            </w:r>
          </w:p>
        </w:tc>
        <w:tc>
          <w:tcPr>
            <w:tcW w:w="946" w:type="dxa"/>
            <w:vAlign w:val="center"/>
          </w:tcPr>
          <w:p w14:paraId="4B450995" w14:textId="74053B54" w:rsidR="00E20635" w:rsidRPr="00E20635" w:rsidRDefault="00E20635" w:rsidP="00E20635">
            <w:pPr>
              <w:spacing w:after="0" w:line="240" w:lineRule="auto"/>
              <w:jc w:val="center"/>
              <w:rPr>
                <w:rFonts w:cs="Arial"/>
                <w:sz w:val="20"/>
              </w:rPr>
            </w:pPr>
            <w:r w:rsidRPr="00E20635">
              <w:rPr>
                <w:rFonts w:cs="Arial"/>
                <w:sz w:val="20"/>
              </w:rPr>
              <w:t>99</w:t>
            </w:r>
          </w:p>
        </w:tc>
        <w:tc>
          <w:tcPr>
            <w:tcW w:w="945" w:type="dxa"/>
            <w:vAlign w:val="center"/>
          </w:tcPr>
          <w:p w14:paraId="328D785D" w14:textId="07C20353" w:rsidR="00E20635" w:rsidRPr="00E20635" w:rsidRDefault="00E20635" w:rsidP="00E20635">
            <w:pPr>
              <w:spacing w:after="0" w:line="240" w:lineRule="auto"/>
              <w:jc w:val="center"/>
              <w:rPr>
                <w:rFonts w:cs="Arial"/>
                <w:sz w:val="20"/>
              </w:rPr>
            </w:pPr>
            <w:r w:rsidRPr="00E20635">
              <w:rPr>
                <w:rFonts w:cs="Arial"/>
                <w:sz w:val="20"/>
              </w:rPr>
              <w:t>105</w:t>
            </w:r>
          </w:p>
        </w:tc>
        <w:tc>
          <w:tcPr>
            <w:tcW w:w="946" w:type="dxa"/>
            <w:vAlign w:val="center"/>
          </w:tcPr>
          <w:p w14:paraId="784F5C73" w14:textId="390639BB" w:rsidR="00E20635" w:rsidRPr="00E20635" w:rsidRDefault="00E20635" w:rsidP="00E20635">
            <w:pPr>
              <w:spacing w:after="0" w:line="240" w:lineRule="auto"/>
              <w:jc w:val="center"/>
              <w:rPr>
                <w:rFonts w:cs="Arial"/>
                <w:sz w:val="20"/>
              </w:rPr>
            </w:pPr>
            <w:r w:rsidRPr="00E20635">
              <w:rPr>
                <w:rFonts w:cs="Arial"/>
                <w:sz w:val="20"/>
              </w:rPr>
              <w:t>105</w:t>
            </w:r>
          </w:p>
        </w:tc>
        <w:tc>
          <w:tcPr>
            <w:tcW w:w="945" w:type="dxa"/>
            <w:vAlign w:val="center"/>
          </w:tcPr>
          <w:p w14:paraId="179AB1B9" w14:textId="3EE185B6" w:rsidR="00E20635" w:rsidRPr="00E20635" w:rsidRDefault="00E20635" w:rsidP="00E20635">
            <w:pPr>
              <w:spacing w:after="0" w:line="240" w:lineRule="auto"/>
              <w:jc w:val="center"/>
              <w:rPr>
                <w:rFonts w:cs="Arial"/>
                <w:sz w:val="20"/>
              </w:rPr>
            </w:pPr>
            <w:r w:rsidRPr="00E20635">
              <w:rPr>
                <w:rFonts w:cs="Arial"/>
                <w:sz w:val="20"/>
              </w:rPr>
              <w:t>116</w:t>
            </w:r>
          </w:p>
        </w:tc>
        <w:tc>
          <w:tcPr>
            <w:tcW w:w="946" w:type="dxa"/>
            <w:vAlign w:val="center"/>
          </w:tcPr>
          <w:p w14:paraId="24A0C91F" w14:textId="6CD37B98" w:rsidR="00E20635" w:rsidRPr="00E20635" w:rsidRDefault="00E20635" w:rsidP="00E20635">
            <w:pPr>
              <w:spacing w:after="0" w:line="240" w:lineRule="auto"/>
              <w:jc w:val="center"/>
              <w:rPr>
                <w:rFonts w:cs="Arial"/>
                <w:sz w:val="20"/>
              </w:rPr>
            </w:pPr>
            <w:r w:rsidRPr="00E20635">
              <w:rPr>
                <w:rFonts w:cs="Arial"/>
                <w:sz w:val="20"/>
              </w:rPr>
              <w:t>84</w:t>
            </w:r>
          </w:p>
        </w:tc>
        <w:tc>
          <w:tcPr>
            <w:tcW w:w="946" w:type="dxa"/>
            <w:vAlign w:val="center"/>
          </w:tcPr>
          <w:p w14:paraId="4750659B" w14:textId="08396651" w:rsidR="00E20635" w:rsidRPr="00E20635" w:rsidRDefault="00E20635" w:rsidP="00E20635">
            <w:pPr>
              <w:spacing w:after="0" w:line="240" w:lineRule="auto"/>
              <w:jc w:val="center"/>
              <w:rPr>
                <w:rFonts w:cs="Arial"/>
                <w:sz w:val="20"/>
              </w:rPr>
            </w:pPr>
            <w:r w:rsidRPr="00E20635">
              <w:rPr>
                <w:rFonts w:cs="Arial"/>
                <w:sz w:val="20"/>
              </w:rPr>
              <w:t>69</w:t>
            </w:r>
          </w:p>
        </w:tc>
      </w:tr>
      <w:tr w:rsidR="00E20635" w:rsidRPr="00E20635" w14:paraId="6E37DF97" w14:textId="77777777" w:rsidTr="00E20635">
        <w:tc>
          <w:tcPr>
            <w:tcW w:w="2879" w:type="dxa"/>
            <w:vAlign w:val="center"/>
          </w:tcPr>
          <w:p w14:paraId="742BE6B5" w14:textId="77777777" w:rsidR="00E20635" w:rsidRPr="00E20635" w:rsidRDefault="00E20635" w:rsidP="00E20635">
            <w:pPr>
              <w:spacing w:after="0" w:line="240" w:lineRule="auto"/>
              <w:jc w:val="center"/>
              <w:rPr>
                <w:rFonts w:cs="Arial"/>
                <w:sz w:val="20"/>
              </w:rPr>
            </w:pPr>
            <w:r w:rsidRPr="00E20635">
              <w:rPr>
                <w:rFonts w:cs="Arial"/>
                <w:sz w:val="20"/>
              </w:rPr>
              <w:t>Kradzież z włamaniem</w:t>
            </w:r>
          </w:p>
          <w:p w14:paraId="7EFB2A7B" w14:textId="0FDB8938"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0499BC21" w14:textId="1D16DAB7" w:rsidR="00E20635" w:rsidRPr="00E20635" w:rsidRDefault="00E20635" w:rsidP="00E20635">
            <w:pPr>
              <w:spacing w:after="0" w:line="240" w:lineRule="auto"/>
              <w:jc w:val="center"/>
              <w:rPr>
                <w:rFonts w:cs="Arial"/>
                <w:sz w:val="20"/>
              </w:rPr>
            </w:pPr>
            <w:r w:rsidRPr="00E20635">
              <w:rPr>
                <w:rFonts w:cs="Arial"/>
                <w:sz w:val="20"/>
              </w:rPr>
              <w:t>556</w:t>
            </w:r>
          </w:p>
        </w:tc>
        <w:tc>
          <w:tcPr>
            <w:tcW w:w="946" w:type="dxa"/>
            <w:vAlign w:val="center"/>
          </w:tcPr>
          <w:p w14:paraId="18D2F2D1" w14:textId="10D1552E" w:rsidR="00E20635" w:rsidRPr="00E20635" w:rsidRDefault="00E20635" w:rsidP="00E20635">
            <w:pPr>
              <w:spacing w:after="0" w:line="240" w:lineRule="auto"/>
              <w:jc w:val="center"/>
              <w:rPr>
                <w:rFonts w:cs="Arial"/>
                <w:sz w:val="20"/>
              </w:rPr>
            </w:pPr>
            <w:r w:rsidRPr="00E20635">
              <w:rPr>
                <w:rFonts w:cs="Arial"/>
                <w:sz w:val="20"/>
              </w:rPr>
              <w:t>618</w:t>
            </w:r>
          </w:p>
        </w:tc>
        <w:tc>
          <w:tcPr>
            <w:tcW w:w="945" w:type="dxa"/>
            <w:vAlign w:val="center"/>
          </w:tcPr>
          <w:p w14:paraId="6FB9F192" w14:textId="49BD901D" w:rsidR="00E20635" w:rsidRPr="00E20635" w:rsidRDefault="00E20635" w:rsidP="00E20635">
            <w:pPr>
              <w:spacing w:after="0" w:line="240" w:lineRule="auto"/>
              <w:jc w:val="center"/>
              <w:rPr>
                <w:rFonts w:cs="Arial"/>
                <w:sz w:val="20"/>
              </w:rPr>
            </w:pPr>
            <w:r w:rsidRPr="00E20635">
              <w:rPr>
                <w:rFonts w:cs="Arial"/>
                <w:sz w:val="20"/>
              </w:rPr>
              <w:t>548</w:t>
            </w:r>
          </w:p>
        </w:tc>
        <w:tc>
          <w:tcPr>
            <w:tcW w:w="946" w:type="dxa"/>
            <w:vAlign w:val="center"/>
          </w:tcPr>
          <w:p w14:paraId="4B757057" w14:textId="084E908A" w:rsidR="00E20635" w:rsidRPr="00E20635" w:rsidRDefault="00E20635" w:rsidP="00E20635">
            <w:pPr>
              <w:spacing w:after="0" w:line="240" w:lineRule="auto"/>
              <w:jc w:val="center"/>
              <w:rPr>
                <w:rFonts w:cs="Arial"/>
                <w:sz w:val="20"/>
              </w:rPr>
            </w:pPr>
            <w:r w:rsidRPr="00E20635">
              <w:rPr>
                <w:rFonts w:cs="Arial"/>
                <w:sz w:val="20"/>
              </w:rPr>
              <w:t>535</w:t>
            </w:r>
          </w:p>
        </w:tc>
        <w:tc>
          <w:tcPr>
            <w:tcW w:w="945" w:type="dxa"/>
            <w:vAlign w:val="center"/>
          </w:tcPr>
          <w:p w14:paraId="73638EA5" w14:textId="490BB61B" w:rsidR="00E20635" w:rsidRPr="00E20635" w:rsidRDefault="00E20635" w:rsidP="00E20635">
            <w:pPr>
              <w:spacing w:after="0" w:line="240" w:lineRule="auto"/>
              <w:jc w:val="center"/>
              <w:rPr>
                <w:rFonts w:cs="Arial"/>
                <w:sz w:val="20"/>
              </w:rPr>
            </w:pPr>
            <w:r w:rsidRPr="00E20635">
              <w:rPr>
                <w:rFonts w:cs="Arial"/>
                <w:sz w:val="20"/>
              </w:rPr>
              <w:t>395</w:t>
            </w:r>
          </w:p>
        </w:tc>
        <w:tc>
          <w:tcPr>
            <w:tcW w:w="946" w:type="dxa"/>
            <w:vAlign w:val="center"/>
          </w:tcPr>
          <w:p w14:paraId="4D64565D" w14:textId="6155F795" w:rsidR="00E20635" w:rsidRPr="00E20635" w:rsidRDefault="00E20635" w:rsidP="00E20635">
            <w:pPr>
              <w:spacing w:after="0" w:line="240" w:lineRule="auto"/>
              <w:jc w:val="center"/>
              <w:rPr>
                <w:rFonts w:cs="Arial"/>
                <w:sz w:val="20"/>
              </w:rPr>
            </w:pPr>
            <w:r w:rsidRPr="00E20635">
              <w:rPr>
                <w:rFonts w:cs="Arial"/>
                <w:sz w:val="20"/>
              </w:rPr>
              <w:t>371</w:t>
            </w:r>
          </w:p>
        </w:tc>
        <w:tc>
          <w:tcPr>
            <w:tcW w:w="946" w:type="dxa"/>
            <w:vAlign w:val="center"/>
          </w:tcPr>
          <w:p w14:paraId="1D520288" w14:textId="3A07FDCC" w:rsidR="00E20635" w:rsidRPr="00E20635" w:rsidRDefault="00E20635" w:rsidP="00E20635">
            <w:pPr>
              <w:spacing w:after="0" w:line="240" w:lineRule="auto"/>
              <w:jc w:val="center"/>
              <w:rPr>
                <w:rFonts w:cs="Arial"/>
                <w:sz w:val="20"/>
              </w:rPr>
            </w:pPr>
            <w:r w:rsidRPr="00E20635">
              <w:rPr>
                <w:rFonts w:cs="Arial"/>
                <w:sz w:val="20"/>
              </w:rPr>
              <w:t>375</w:t>
            </w:r>
          </w:p>
        </w:tc>
      </w:tr>
      <w:tr w:rsidR="00E20635" w:rsidRPr="00E20635" w14:paraId="349748E6" w14:textId="77777777" w:rsidTr="00E20635">
        <w:tc>
          <w:tcPr>
            <w:tcW w:w="2879" w:type="dxa"/>
            <w:vAlign w:val="center"/>
          </w:tcPr>
          <w:p w14:paraId="2821A042" w14:textId="77777777" w:rsidR="00E20635" w:rsidRPr="00E20635" w:rsidRDefault="00E20635" w:rsidP="00E20635">
            <w:pPr>
              <w:spacing w:after="0" w:line="240" w:lineRule="auto"/>
              <w:jc w:val="center"/>
              <w:rPr>
                <w:rFonts w:cs="Arial"/>
                <w:sz w:val="20"/>
              </w:rPr>
            </w:pPr>
            <w:r w:rsidRPr="00E20635">
              <w:rPr>
                <w:rFonts w:cs="Arial"/>
                <w:sz w:val="20"/>
              </w:rPr>
              <w:t>Kradzież z włamaniem</w:t>
            </w:r>
          </w:p>
          <w:p w14:paraId="53220BE6" w14:textId="79D98072"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5C2F5929" w14:textId="5FA05FD0" w:rsidR="00E20635" w:rsidRPr="00E20635" w:rsidRDefault="00E20635" w:rsidP="00E20635">
            <w:pPr>
              <w:spacing w:after="0" w:line="240" w:lineRule="auto"/>
              <w:jc w:val="center"/>
              <w:rPr>
                <w:rFonts w:cs="Arial"/>
                <w:sz w:val="20"/>
              </w:rPr>
            </w:pPr>
            <w:r w:rsidRPr="00E20635">
              <w:rPr>
                <w:rFonts w:cs="Arial"/>
                <w:sz w:val="20"/>
              </w:rPr>
              <w:t>77</w:t>
            </w:r>
          </w:p>
        </w:tc>
        <w:tc>
          <w:tcPr>
            <w:tcW w:w="946" w:type="dxa"/>
            <w:vAlign w:val="center"/>
          </w:tcPr>
          <w:p w14:paraId="1F7C553C" w14:textId="26888D33" w:rsidR="00E20635" w:rsidRPr="00E20635" w:rsidRDefault="00E20635" w:rsidP="00E20635">
            <w:pPr>
              <w:spacing w:after="0" w:line="240" w:lineRule="auto"/>
              <w:jc w:val="center"/>
              <w:rPr>
                <w:rFonts w:cs="Arial"/>
                <w:sz w:val="20"/>
              </w:rPr>
            </w:pPr>
            <w:r w:rsidRPr="00E20635">
              <w:rPr>
                <w:rFonts w:cs="Arial"/>
                <w:sz w:val="20"/>
              </w:rPr>
              <w:t>88</w:t>
            </w:r>
          </w:p>
        </w:tc>
        <w:tc>
          <w:tcPr>
            <w:tcW w:w="945" w:type="dxa"/>
            <w:vAlign w:val="center"/>
          </w:tcPr>
          <w:p w14:paraId="7FDEA261" w14:textId="5F9DA0D0" w:rsidR="00E20635" w:rsidRPr="00E20635" w:rsidRDefault="00E20635" w:rsidP="00E20635">
            <w:pPr>
              <w:spacing w:after="0" w:line="240" w:lineRule="auto"/>
              <w:jc w:val="center"/>
              <w:rPr>
                <w:rFonts w:cs="Arial"/>
                <w:sz w:val="20"/>
              </w:rPr>
            </w:pPr>
            <w:r w:rsidRPr="00E20635">
              <w:rPr>
                <w:rFonts w:cs="Arial"/>
                <w:sz w:val="20"/>
              </w:rPr>
              <w:t>65</w:t>
            </w:r>
          </w:p>
        </w:tc>
        <w:tc>
          <w:tcPr>
            <w:tcW w:w="946" w:type="dxa"/>
            <w:vAlign w:val="center"/>
          </w:tcPr>
          <w:p w14:paraId="1B085D4D" w14:textId="3D2F29BF" w:rsidR="00E20635" w:rsidRPr="00E20635" w:rsidRDefault="00E20635" w:rsidP="00E20635">
            <w:pPr>
              <w:spacing w:after="0" w:line="240" w:lineRule="auto"/>
              <w:jc w:val="center"/>
              <w:rPr>
                <w:rFonts w:cs="Arial"/>
                <w:sz w:val="20"/>
              </w:rPr>
            </w:pPr>
            <w:r w:rsidRPr="00E20635">
              <w:rPr>
                <w:rFonts w:cs="Arial"/>
                <w:sz w:val="20"/>
              </w:rPr>
              <w:t>46</w:t>
            </w:r>
          </w:p>
        </w:tc>
        <w:tc>
          <w:tcPr>
            <w:tcW w:w="945" w:type="dxa"/>
            <w:vAlign w:val="center"/>
          </w:tcPr>
          <w:p w14:paraId="2AF00267" w14:textId="55616A97" w:rsidR="00E20635" w:rsidRPr="00E20635" w:rsidRDefault="00E20635" w:rsidP="00E20635">
            <w:pPr>
              <w:spacing w:after="0" w:line="240" w:lineRule="auto"/>
              <w:jc w:val="center"/>
              <w:rPr>
                <w:rFonts w:cs="Arial"/>
                <w:sz w:val="20"/>
              </w:rPr>
            </w:pPr>
            <w:r w:rsidRPr="00E20635">
              <w:rPr>
                <w:rFonts w:cs="Arial"/>
                <w:sz w:val="20"/>
              </w:rPr>
              <w:t>43</w:t>
            </w:r>
          </w:p>
        </w:tc>
        <w:tc>
          <w:tcPr>
            <w:tcW w:w="946" w:type="dxa"/>
            <w:vAlign w:val="center"/>
          </w:tcPr>
          <w:p w14:paraId="5499026F" w14:textId="1542F368" w:rsidR="00E20635" w:rsidRPr="00E20635" w:rsidRDefault="00E20635" w:rsidP="00E20635">
            <w:pPr>
              <w:spacing w:after="0" w:line="240" w:lineRule="auto"/>
              <w:jc w:val="center"/>
              <w:rPr>
                <w:rFonts w:cs="Arial"/>
                <w:sz w:val="20"/>
              </w:rPr>
            </w:pPr>
            <w:r w:rsidRPr="00E20635">
              <w:rPr>
                <w:rFonts w:cs="Arial"/>
                <w:sz w:val="20"/>
              </w:rPr>
              <w:t>36</w:t>
            </w:r>
          </w:p>
        </w:tc>
        <w:tc>
          <w:tcPr>
            <w:tcW w:w="946" w:type="dxa"/>
            <w:vAlign w:val="center"/>
          </w:tcPr>
          <w:p w14:paraId="0CFF2E13" w14:textId="44809A5F" w:rsidR="00E20635" w:rsidRPr="00E20635" w:rsidRDefault="00E20635" w:rsidP="00E20635">
            <w:pPr>
              <w:spacing w:after="0" w:line="240" w:lineRule="auto"/>
              <w:jc w:val="center"/>
              <w:rPr>
                <w:rFonts w:cs="Arial"/>
                <w:sz w:val="20"/>
              </w:rPr>
            </w:pPr>
            <w:r w:rsidRPr="00E20635">
              <w:rPr>
                <w:rFonts w:cs="Arial"/>
                <w:sz w:val="20"/>
              </w:rPr>
              <w:t>29</w:t>
            </w:r>
          </w:p>
        </w:tc>
      </w:tr>
      <w:tr w:rsidR="00E20635" w:rsidRPr="00E20635" w14:paraId="1A5F3BD5" w14:textId="77777777" w:rsidTr="00E20635">
        <w:tc>
          <w:tcPr>
            <w:tcW w:w="2879" w:type="dxa"/>
            <w:vAlign w:val="center"/>
          </w:tcPr>
          <w:p w14:paraId="64A41E0C" w14:textId="77777777" w:rsidR="00E20635" w:rsidRPr="00E20635" w:rsidRDefault="00E20635" w:rsidP="00E20635">
            <w:pPr>
              <w:spacing w:after="0" w:line="240" w:lineRule="auto"/>
              <w:jc w:val="center"/>
              <w:rPr>
                <w:rFonts w:cs="Arial"/>
                <w:sz w:val="20"/>
              </w:rPr>
            </w:pPr>
            <w:r w:rsidRPr="00E20635">
              <w:rPr>
                <w:rFonts w:cs="Arial"/>
                <w:sz w:val="20"/>
              </w:rPr>
              <w:t>Rozbój, kradzież i wymuszenie rozbójnicze</w:t>
            </w:r>
          </w:p>
          <w:p w14:paraId="3754AC18" w14:textId="428432F8"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465AEBEF" w14:textId="14AF1431" w:rsidR="00E20635" w:rsidRPr="00E20635" w:rsidRDefault="00E20635" w:rsidP="00E20635">
            <w:pPr>
              <w:spacing w:after="0" w:line="240" w:lineRule="auto"/>
              <w:jc w:val="center"/>
              <w:rPr>
                <w:rFonts w:cs="Arial"/>
                <w:sz w:val="20"/>
              </w:rPr>
            </w:pPr>
            <w:r w:rsidRPr="00E20635">
              <w:rPr>
                <w:rFonts w:cs="Arial"/>
                <w:sz w:val="20"/>
              </w:rPr>
              <w:t>276</w:t>
            </w:r>
          </w:p>
        </w:tc>
        <w:tc>
          <w:tcPr>
            <w:tcW w:w="946" w:type="dxa"/>
            <w:vAlign w:val="center"/>
          </w:tcPr>
          <w:p w14:paraId="291A1A26" w14:textId="1BA661F0" w:rsidR="00E20635" w:rsidRPr="00E20635" w:rsidRDefault="00E20635" w:rsidP="00E20635">
            <w:pPr>
              <w:spacing w:after="0" w:line="240" w:lineRule="auto"/>
              <w:jc w:val="center"/>
              <w:rPr>
                <w:rFonts w:cs="Arial"/>
                <w:sz w:val="20"/>
              </w:rPr>
            </w:pPr>
            <w:r w:rsidRPr="00E20635">
              <w:rPr>
                <w:rFonts w:cs="Arial"/>
                <w:sz w:val="20"/>
              </w:rPr>
              <w:t>271</w:t>
            </w:r>
          </w:p>
        </w:tc>
        <w:tc>
          <w:tcPr>
            <w:tcW w:w="945" w:type="dxa"/>
            <w:vAlign w:val="center"/>
          </w:tcPr>
          <w:p w14:paraId="6969F3FA" w14:textId="5907E843" w:rsidR="00E20635" w:rsidRPr="00E20635" w:rsidRDefault="00E20635" w:rsidP="00E20635">
            <w:pPr>
              <w:spacing w:after="0" w:line="240" w:lineRule="auto"/>
              <w:jc w:val="center"/>
              <w:rPr>
                <w:rFonts w:cs="Arial"/>
                <w:sz w:val="20"/>
              </w:rPr>
            </w:pPr>
            <w:r w:rsidRPr="00E20635">
              <w:rPr>
                <w:rFonts w:cs="Arial"/>
                <w:sz w:val="20"/>
              </w:rPr>
              <w:t>272</w:t>
            </w:r>
          </w:p>
        </w:tc>
        <w:tc>
          <w:tcPr>
            <w:tcW w:w="946" w:type="dxa"/>
            <w:vAlign w:val="center"/>
          </w:tcPr>
          <w:p w14:paraId="20C1A54C" w14:textId="1F663566" w:rsidR="00E20635" w:rsidRPr="00E20635" w:rsidRDefault="00E20635" w:rsidP="00E20635">
            <w:pPr>
              <w:spacing w:after="0" w:line="240" w:lineRule="auto"/>
              <w:jc w:val="center"/>
              <w:rPr>
                <w:rFonts w:cs="Arial"/>
                <w:sz w:val="20"/>
              </w:rPr>
            </w:pPr>
            <w:r w:rsidRPr="00E20635">
              <w:rPr>
                <w:rFonts w:cs="Arial"/>
                <w:sz w:val="20"/>
              </w:rPr>
              <w:t>245</w:t>
            </w:r>
          </w:p>
        </w:tc>
        <w:tc>
          <w:tcPr>
            <w:tcW w:w="945" w:type="dxa"/>
            <w:vAlign w:val="center"/>
          </w:tcPr>
          <w:p w14:paraId="3FEF2888" w14:textId="2F1B427A" w:rsidR="00E20635" w:rsidRPr="00E20635" w:rsidRDefault="00E20635" w:rsidP="00E20635">
            <w:pPr>
              <w:spacing w:after="0" w:line="240" w:lineRule="auto"/>
              <w:jc w:val="center"/>
              <w:rPr>
                <w:rFonts w:cs="Arial"/>
                <w:sz w:val="20"/>
              </w:rPr>
            </w:pPr>
            <w:r w:rsidRPr="00E20635">
              <w:rPr>
                <w:rFonts w:cs="Arial"/>
                <w:sz w:val="20"/>
              </w:rPr>
              <w:t>137</w:t>
            </w:r>
          </w:p>
        </w:tc>
        <w:tc>
          <w:tcPr>
            <w:tcW w:w="946" w:type="dxa"/>
            <w:vAlign w:val="center"/>
          </w:tcPr>
          <w:p w14:paraId="54F2ADAA" w14:textId="43D2138B" w:rsidR="00E20635" w:rsidRPr="00E20635" w:rsidRDefault="00E20635" w:rsidP="00E20635">
            <w:pPr>
              <w:spacing w:after="0" w:line="240" w:lineRule="auto"/>
              <w:jc w:val="center"/>
              <w:rPr>
                <w:rFonts w:cs="Arial"/>
                <w:sz w:val="20"/>
              </w:rPr>
            </w:pPr>
            <w:r w:rsidRPr="00E20635">
              <w:rPr>
                <w:rFonts w:cs="Arial"/>
                <w:sz w:val="20"/>
              </w:rPr>
              <w:t>189</w:t>
            </w:r>
          </w:p>
        </w:tc>
        <w:tc>
          <w:tcPr>
            <w:tcW w:w="946" w:type="dxa"/>
            <w:vAlign w:val="center"/>
          </w:tcPr>
          <w:p w14:paraId="7CFD3ECD" w14:textId="6D449170" w:rsidR="00E20635" w:rsidRPr="00E20635" w:rsidRDefault="00E20635" w:rsidP="00E20635">
            <w:pPr>
              <w:spacing w:after="0" w:line="240" w:lineRule="auto"/>
              <w:jc w:val="center"/>
              <w:rPr>
                <w:rFonts w:cs="Arial"/>
                <w:sz w:val="20"/>
              </w:rPr>
            </w:pPr>
            <w:r w:rsidRPr="00E20635">
              <w:rPr>
                <w:rFonts w:cs="Arial"/>
                <w:sz w:val="20"/>
              </w:rPr>
              <w:t>209</w:t>
            </w:r>
          </w:p>
        </w:tc>
      </w:tr>
      <w:tr w:rsidR="00E20635" w:rsidRPr="00E20635" w14:paraId="0E2760DF" w14:textId="77777777" w:rsidTr="00E20635">
        <w:tc>
          <w:tcPr>
            <w:tcW w:w="2879" w:type="dxa"/>
            <w:vAlign w:val="center"/>
          </w:tcPr>
          <w:p w14:paraId="58B54E99" w14:textId="77777777" w:rsidR="00E20635" w:rsidRPr="00E20635" w:rsidRDefault="00E20635" w:rsidP="00E20635">
            <w:pPr>
              <w:spacing w:after="0" w:line="240" w:lineRule="auto"/>
              <w:jc w:val="center"/>
              <w:rPr>
                <w:rFonts w:cs="Arial"/>
                <w:sz w:val="20"/>
              </w:rPr>
            </w:pPr>
            <w:r w:rsidRPr="00E20635">
              <w:rPr>
                <w:rFonts w:cs="Arial"/>
                <w:sz w:val="20"/>
              </w:rPr>
              <w:t>Rozbój, kradzież i wymuszenie rozbójnicze</w:t>
            </w:r>
          </w:p>
          <w:p w14:paraId="36938FE6" w14:textId="0E0108A5"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56043C4D" w14:textId="7A8C5CA3" w:rsidR="00E20635" w:rsidRPr="00E20635" w:rsidRDefault="00E20635" w:rsidP="00E20635">
            <w:pPr>
              <w:spacing w:after="0" w:line="240" w:lineRule="auto"/>
              <w:jc w:val="center"/>
              <w:rPr>
                <w:rFonts w:cs="Arial"/>
                <w:sz w:val="20"/>
              </w:rPr>
            </w:pPr>
            <w:r w:rsidRPr="00E20635">
              <w:rPr>
                <w:rFonts w:cs="Arial"/>
                <w:sz w:val="20"/>
              </w:rPr>
              <w:t>63</w:t>
            </w:r>
          </w:p>
        </w:tc>
        <w:tc>
          <w:tcPr>
            <w:tcW w:w="946" w:type="dxa"/>
            <w:vAlign w:val="center"/>
          </w:tcPr>
          <w:p w14:paraId="7B8A3654" w14:textId="75CAC93B" w:rsidR="00E20635" w:rsidRPr="00E20635" w:rsidRDefault="00E20635" w:rsidP="00E20635">
            <w:pPr>
              <w:spacing w:after="0" w:line="240" w:lineRule="auto"/>
              <w:jc w:val="center"/>
              <w:rPr>
                <w:rFonts w:cs="Arial"/>
                <w:sz w:val="20"/>
              </w:rPr>
            </w:pPr>
            <w:r w:rsidRPr="00E20635">
              <w:rPr>
                <w:rFonts w:cs="Arial"/>
                <w:sz w:val="20"/>
              </w:rPr>
              <w:t>60</w:t>
            </w:r>
          </w:p>
        </w:tc>
        <w:tc>
          <w:tcPr>
            <w:tcW w:w="945" w:type="dxa"/>
            <w:vAlign w:val="center"/>
          </w:tcPr>
          <w:p w14:paraId="005324FD" w14:textId="7F96CB8C" w:rsidR="00E20635" w:rsidRPr="00E20635" w:rsidRDefault="00E20635" w:rsidP="00E20635">
            <w:pPr>
              <w:spacing w:after="0" w:line="240" w:lineRule="auto"/>
              <w:jc w:val="center"/>
              <w:rPr>
                <w:rFonts w:cs="Arial"/>
                <w:sz w:val="20"/>
              </w:rPr>
            </w:pPr>
            <w:r w:rsidRPr="00E20635">
              <w:rPr>
                <w:rFonts w:cs="Arial"/>
                <w:sz w:val="20"/>
              </w:rPr>
              <w:t>59</w:t>
            </w:r>
          </w:p>
        </w:tc>
        <w:tc>
          <w:tcPr>
            <w:tcW w:w="946" w:type="dxa"/>
            <w:vAlign w:val="center"/>
          </w:tcPr>
          <w:p w14:paraId="10BEA3C1" w14:textId="570BC872" w:rsidR="00E20635" w:rsidRPr="00E20635" w:rsidRDefault="00E20635" w:rsidP="00E20635">
            <w:pPr>
              <w:spacing w:after="0" w:line="240" w:lineRule="auto"/>
              <w:jc w:val="center"/>
              <w:rPr>
                <w:rFonts w:cs="Arial"/>
                <w:sz w:val="20"/>
              </w:rPr>
            </w:pPr>
            <w:r w:rsidRPr="00E20635">
              <w:rPr>
                <w:rFonts w:cs="Arial"/>
                <w:sz w:val="20"/>
              </w:rPr>
              <w:t>53</w:t>
            </w:r>
          </w:p>
        </w:tc>
        <w:tc>
          <w:tcPr>
            <w:tcW w:w="945" w:type="dxa"/>
            <w:vAlign w:val="center"/>
          </w:tcPr>
          <w:p w14:paraId="7C9CCC2C" w14:textId="7A15B0BA" w:rsidR="00E20635" w:rsidRPr="00E20635" w:rsidRDefault="00E20635" w:rsidP="00E20635">
            <w:pPr>
              <w:spacing w:after="0" w:line="240" w:lineRule="auto"/>
              <w:jc w:val="center"/>
              <w:rPr>
                <w:rFonts w:cs="Arial"/>
                <w:sz w:val="20"/>
              </w:rPr>
            </w:pPr>
            <w:r w:rsidRPr="00E20635">
              <w:rPr>
                <w:rFonts w:cs="Arial"/>
                <w:sz w:val="20"/>
              </w:rPr>
              <w:t>37</w:t>
            </w:r>
          </w:p>
        </w:tc>
        <w:tc>
          <w:tcPr>
            <w:tcW w:w="946" w:type="dxa"/>
            <w:vAlign w:val="center"/>
          </w:tcPr>
          <w:p w14:paraId="2651B0DF" w14:textId="2D29BE51" w:rsidR="00E20635" w:rsidRPr="00E20635" w:rsidRDefault="00E20635" w:rsidP="00E20635">
            <w:pPr>
              <w:spacing w:after="0" w:line="240" w:lineRule="auto"/>
              <w:jc w:val="center"/>
              <w:rPr>
                <w:rFonts w:cs="Arial"/>
                <w:sz w:val="20"/>
              </w:rPr>
            </w:pPr>
            <w:r w:rsidRPr="00E20635">
              <w:rPr>
                <w:rFonts w:cs="Arial"/>
                <w:sz w:val="20"/>
              </w:rPr>
              <w:t>38</w:t>
            </w:r>
          </w:p>
        </w:tc>
        <w:tc>
          <w:tcPr>
            <w:tcW w:w="946" w:type="dxa"/>
            <w:vAlign w:val="center"/>
          </w:tcPr>
          <w:p w14:paraId="26FB34DA" w14:textId="3576EEE3" w:rsidR="00E20635" w:rsidRPr="00E20635" w:rsidRDefault="00E20635" w:rsidP="00E20635">
            <w:pPr>
              <w:spacing w:after="0" w:line="240" w:lineRule="auto"/>
              <w:jc w:val="center"/>
              <w:rPr>
                <w:rFonts w:cs="Arial"/>
                <w:sz w:val="20"/>
              </w:rPr>
            </w:pPr>
            <w:r w:rsidRPr="00E20635">
              <w:rPr>
                <w:rFonts w:cs="Arial"/>
                <w:sz w:val="20"/>
              </w:rPr>
              <w:t>28</w:t>
            </w:r>
          </w:p>
        </w:tc>
      </w:tr>
      <w:tr w:rsidR="00E20635" w:rsidRPr="00E20635" w14:paraId="5E6DC335" w14:textId="77777777" w:rsidTr="00E20635">
        <w:tc>
          <w:tcPr>
            <w:tcW w:w="2879" w:type="dxa"/>
            <w:vAlign w:val="center"/>
          </w:tcPr>
          <w:p w14:paraId="4A8684CF" w14:textId="77777777" w:rsidR="00E20635" w:rsidRPr="00E20635" w:rsidRDefault="00E20635" w:rsidP="00E20635">
            <w:pPr>
              <w:spacing w:after="0" w:line="240" w:lineRule="auto"/>
              <w:jc w:val="center"/>
              <w:rPr>
                <w:rFonts w:cs="Arial"/>
                <w:sz w:val="20"/>
              </w:rPr>
            </w:pPr>
            <w:r w:rsidRPr="00E20635">
              <w:rPr>
                <w:rFonts w:cs="Arial"/>
                <w:sz w:val="20"/>
              </w:rPr>
              <w:t>Uszkodzenie rzeczy</w:t>
            </w:r>
          </w:p>
          <w:p w14:paraId="4401DC4A" w14:textId="799B011C" w:rsidR="00E20635" w:rsidRPr="00E20635" w:rsidRDefault="00E20635" w:rsidP="00E20635">
            <w:pPr>
              <w:spacing w:after="0" w:line="240" w:lineRule="auto"/>
              <w:jc w:val="center"/>
              <w:rPr>
                <w:rFonts w:cs="Arial"/>
                <w:sz w:val="20"/>
              </w:rPr>
            </w:pPr>
            <w:r w:rsidRPr="00E20635">
              <w:rPr>
                <w:rFonts w:cs="Arial"/>
                <w:sz w:val="20"/>
              </w:rPr>
              <w:t>(Podejrzani ogółem)</w:t>
            </w:r>
          </w:p>
        </w:tc>
        <w:tc>
          <w:tcPr>
            <w:tcW w:w="945" w:type="dxa"/>
            <w:vAlign w:val="center"/>
          </w:tcPr>
          <w:p w14:paraId="166CE81D" w14:textId="2EB73C8E" w:rsidR="00E20635" w:rsidRPr="00E20635" w:rsidRDefault="00E20635" w:rsidP="00E20635">
            <w:pPr>
              <w:spacing w:after="0" w:line="240" w:lineRule="auto"/>
              <w:jc w:val="center"/>
              <w:rPr>
                <w:rFonts w:cs="Arial"/>
                <w:sz w:val="20"/>
              </w:rPr>
            </w:pPr>
            <w:r w:rsidRPr="00E20635">
              <w:rPr>
                <w:rFonts w:cs="Arial"/>
                <w:sz w:val="20"/>
              </w:rPr>
              <w:t>544</w:t>
            </w:r>
          </w:p>
        </w:tc>
        <w:tc>
          <w:tcPr>
            <w:tcW w:w="946" w:type="dxa"/>
            <w:vAlign w:val="center"/>
          </w:tcPr>
          <w:p w14:paraId="6B116338" w14:textId="469ACF01" w:rsidR="00E20635" w:rsidRPr="00E20635" w:rsidRDefault="00E20635" w:rsidP="00E20635">
            <w:pPr>
              <w:spacing w:after="0" w:line="240" w:lineRule="auto"/>
              <w:jc w:val="center"/>
              <w:rPr>
                <w:rFonts w:cs="Arial"/>
                <w:sz w:val="20"/>
              </w:rPr>
            </w:pPr>
            <w:r w:rsidRPr="00E20635">
              <w:rPr>
                <w:rFonts w:cs="Arial"/>
                <w:sz w:val="20"/>
              </w:rPr>
              <w:t>616</w:t>
            </w:r>
          </w:p>
        </w:tc>
        <w:tc>
          <w:tcPr>
            <w:tcW w:w="945" w:type="dxa"/>
            <w:vAlign w:val="center"/>
          </w:tcPr>
          <w:p w14:paraId="15184E83" w14:textId="3C0434C7" w:rsidR="00E20635" w:rsidRPr="00E20635" w:rsidRDefault="00E20635" w:rsidP="00E20635">
            <w:pPr>
              <w:spacing w:after="0" w:line="240" w:lineRule="auto"/>
              <w:jc w:val="center"/>
              <w:rPr>
                <w:rFonts w:cs="Arial"/>
                <w:sz w:val="20"/>
              </w:rPr>
            </w:pPr>
            <w:r w:rsidRPr="00E20635">
              <w:rPr>
                <w:rFonts w:cs="Arial"/>
                <w:sz w:val="20"/>
              </w:rPr>
              <w:t>566</w:t>
            </w:r>
          </w:p>
        </w:tc>
        <w:tc>
          <w:tcPr>
            <w:tcW w:w="946" w:type="dxa"/>
            <w:vAlign w:val="center"/>
          </w:tcPr>
          <w:p w14:paraId="6088B21B" w14:textId="086980DA" w:rsidR="00E20635" w:rsidRPr="00E20635" w:rsidRDefault="00E20635" w:rsidP="00E20635">
            <w:pPr>
              <w:spacing w:after="0" w:line="240" w:lineRule="auto"/>
              <w:jc w:val="center"/>
              <w:rPr>
                <w:rFonts w:cs="Arial"/>
                <w:sz w:val="20"/>
              </w:rPr>
            </w:pPr>
            <w:r w:rsidRPr="00E20635">
              <w:rPr>
                <w:rFonts w:cs="Arial"/>
                <w:sz w:val="20"/>
              </w:rPr>
              <w:t>671</w:t>
            </w:r>
          </w:p>
        </w:tc>
        <w:tc>
          <w:tcPr>
            <w:tcW w:w="945" w:type="dxa"/>
            <w:vAlign w:val="center"/>
          </w:tcPr>
          <w:p w14:paraId="7725B0B0" w14:textId="5280D468" w:rsidR="00E20635" w:rsidRPr="00E20635" w:rsidRDefault="00E20635" w:rsidP="00E20635">
            <w:pPr>
              <w:spacing w:after="0" w:line="240" w:lineRule="auto"/>
              <w:jc w:val="center"/>
              <w:rPr>
                <w:rFonts w:cs="Arial"/>
                <w:sz w:val="20"/>
              </w:rPr>
            </w:pPr>
            <w:r w:rsidRPr="00E20635">
              <w:rPr>
                <w:rFonts w:cs="Arial"/>
                <w:sz w:val="20"/>
              </w:rPr>
              <w:t>490</w:t>
            </w:r>
          </w:p>
        </w:tc>
        <w:tc>
          <w:tcPr>
            <w:tcW w:w="946" w:type="dxa"/>
            <w:vAlign w:val="center"/>
          </w:tcPr>
          <w:p w14:paraId="7BF84BF1" w14:textId="33616FE0" w:rsidR="00E20635" w:rsidRPr="00E20635" w:rsidRDefault="00E20635" w:rsidP="00E20635">
            <w:pPr>
              <w:spacing w:after="0" w:line="240" w:lineRule="auto"/>
              <w:jc w:val="center"/>
              <w:rPr>
                <w:rFonts w:cs="Arial"/>
                <w:sz w:val="20"/>
              </w:rPr>
            </w:pPr>
            <w:r w:rsidRPr="00E20635">
              <w:rPr>
                <w:rFonts w:cs="Arial"/>
                <w:sz w:val="20"/>
              </w:rPr>
              <w:t>499</w:t>
            </w:r>
          </w:p>
        </w:tc>
        <w:tc>
          <w:tcPr>
            <w:tcW w:w="946" w:type="dxa"/>
            <w:vAlign w:val="center"/>
          </w:tcPr>
          <w:p w14:paraId="7F864E10" w14:textId="3C0DB2E7" w:rsidR="00E20635" w:rsidRPr="00E20635" w:rsidRDefault="00E20635" w:rsidP="00E20635">
            <w:pPr>
              <w:spacing w:after="0" w:line="240" w:lineRule="auto"/>
              <w:jc w:val="center"/>
              <w:rPr>
                <w:rFonts w:cs="Arial"/>
                <w:sz w:val="20"/>
              </w:rPr>
            </w:pPr>
            <w:r w:rsidRPr="00E20635">
              <w:rPr>
                <w:rFonts w:cs="Arial"/>
                <w:sz w:val="20"/>
              </w:rPr>
              <w:t>429</w:t>
            </w:r>
          </w:p>
        </w:tc>
      </w:tr>
      <w:tr w:rsidR="00E20635" w:rsidRPr="00E20635" w14:paraId="2BD6C911" w14:textId="77777777" w:rsidTr="00E20635">
        <w:tc>
          <w:tcPr>
            <w:tcW w:w="2879" w:type="dxa"/>
            <w:vAlign w:val="center"/>
          </w:tcPr>
          <w:p w14:paraId="5A2215ED" w14:textId="77777777" w:rsidR="00E20635" w:rsidRPr="00E20635" w:rsidRDefault="00E20635" w:rsidP="00E20635">
            <w:pPr>
              <w:spacing w:after="0" w:line="240" w:lineRule="auto"/>
              <w:jc w:val="center"/>
              <w:rPr>
                <w:rFonts w:cs="Arial"/>
                <w:sz w:val="20"/>
              </w:rPr>
            </w:pPr>
            <w:r w:rsidRPr="00E20635">
              <w:rPr>
                <w:rFonts w:cs="Arial"/>
                <w:sz w:val="20"/>
              </w:rPr>
              <w:t>Uszkodzenie rzeczy</w:t>
            </w:r>
          </w:p>
          <w:p w14:paraId="1BB48F0A" w14:textId="2AF37D7E" w:rsidR="00E20635" w:rsidRPr="00E20635" w:rsidRDefault="00E20635" w:rsidP="00E20635">
            <w:pPr>
              <w:spacing w:after="0" w:line="240" w:lineRule="auto"/>
              <w:jc w:val="center"/>
              <w:rPr>
                <w:rFonts w:cs="Arial"/>
                <w:sz w:val="20"/>
              </w:rPr>
            </w:pPr>
            <w:r w:rsidRPr="00E20635">
              <w:rPr>
                <w:rFonts w:cs="Arial"/>
                <w:sz w:val="20"/>
              </w:rPr>
              <w:t>(Nietrzeźwi)</w:t>
            </w:r>
          </w:p>
        </w:tc>
        <w:tc>
          <w:tcPr>
            <w:tcW w:w="945" w:type="dxa"/>
            <w:vAlign w:val="center"/>
          </w:tcPr>
          <w:p w14:paraId="78E02AAD" w14:textId="7495092D" w:rsidR="00E20635" w:rsidRPr="00E20635" w:rsidRDefault="00E20635" w:rsidP="00E20635">
            <w:pPr>
              <w:spacing w:after="0" w:line="240" w:lineRule="auto"/>
              <w:jc w:val="center"/>
              <w:rPr>
                <w:rFonts w:cs="Arial"/>
                <w:sz w:val="20"/>
              </w:rPr>
            </w:pPr>
            <w:r w:rsidRPr="00E20635">
              <w:rPr>
                <w:rFonts w:cs="Arial"/>
                <w:sz w:val="20"/>
              </w:rPr>
              <w:t>135</w:t>
            </w:r>
          </w:p>
        </w:tc>
        <w:tc>
          <w:tcPr>
            <w:tcW w:w="946" w:type="dxa"/>
            <w:vAlign w:val="center"/>
          </w:tcPr>
          <w:p w14:paraId="4AD229F4" w14:textId="148E0B92" w:rsidR="00E20635" w:rsidRPr="00E20635" w:rsidRDefault="00E20635" w:rsidP="00E20635">
            <w:pPr>
              <w:spacing w:after="0" w:line="240" w:lineRule="auto"/>
              <w:jc w:val="center"/>
              <w:rPr>
                <w:rFonts w:cs="Arial"/>
                <w:sz w:val="20"/>
              </w:rPr>
            </w:pPr>
            <w:r w:rsidRPr="00E20635">
              <w:rPr>
                <w:rFonts w:cs="Arial"/>
                <w:sz w:val="20"/>
              </w:rPr>
              <w:t>151</w:t>
            </w:r>
          </w:p>
        </w:tc>
        <w:tc>
          <w:tcPr>
            <w:tcW w:w="945" w:type="dxa"/>
            <w:vAlign w:val="center"/>
          </w:tcPr>
          <w:p w14:paraId="7BA06043" w14:textId="285E9C35" w:rsidR="00E20635" w:rsidRPr="00E20635" w:rsidRDefault="00E20635" w:rsidP="00E20635">
            <w:pPr>
              <w:spacing w:after="0" w:line="240" w:lineRule="auto"/>
              <w:jc w:val="center"/>
              <w:rPr>
                <w:rFonts w:cs="Arial"/>
                <w:sz w:val="20"/>
              </w:rPr>
            </w:pPr>
            <w:r w:rsidRPr="00E20635">
              <w:rPr>
                <w:rFonts w:cs="Arial"/>
                <w:sz w:val="20"/>
              </w:rPr>
              <w:t>128</w:t>
            </w:r>
          </w:p>
        </w:tc>
        <w:tc>
          <w:tcPr>
            <w:tcW w:w="946" w:type="dxa"/>
            <w:vAlign w:val="center"/>
          </w:tcPr>
          <w:p w14:paraId="5299D663" w14:textId="509B719F" w:rsidR="00E20635" w:rsidRPr="00E20635" w:rsidRDefault="00E20635" w:rsidP="00E20635">
            <w:pPr>
              <w:spacing w:after="0" w:line="240" w:lineRule="auto"/>
              <w:jc w:val="center"/>
              <w:rPr>
                <w:rFonts w:cs="Arial"/>
                <w:sz w:val="20"/>
              </w:rPr>
            </w:pPr>
            <w:r w:rsidRPr="00E20635">
              <w:rPr>
                <w:rFonts w:cs="Arial"/>
                <w:sz w:val="20"/>
              </w:rPr>
              <w:t>146</w:t>
            </w:r>
          </w:p>
        </w:tc>
        <w:tc>
          <w:tcPr>
            <w:tcW w:w="945" w:type="dxa"/>
            <w:vAlign w:val="center"/>
          </w:tcPr>
          <w:p w14:paraId="72C26B1B" w14:textId="7662CED4" w:rsidR="00E20635" w:rsidRPr="00E20635" w:rsidRDefault="00E20635" w:rsidP="00E20635">
            <w:pPr>
              <w:spacing w:after="0" w:line="240" w:lineRule="auto"/>
              <w:jc w:val="center"/>
              <w:rPr>
                <w:rFonts w:cs="Arial"/>
                <w:sz w:val="20"/>
              </w:rPr>
            </w:pPr>
            <w:r w:rsidRPr="00E20635">
              <w:rPr>
                <w:rFonts w:cs="Arial"/>
                <w:sz w:val="20"/>
              </w:rPr>
              <w:t>98</w:t>
            </w:r>
          </w:p>
        </w:tc>
        <w:tc>
          <w:tcPr>
            <w:tcW w:w="946" w:type="dxa"/>
            <w:vAlign w:val="center"/>
          </w:tcPr>
          <w:p w14:paraId="2793CE2A" w14:textId="47A594B3" w:rsidR="00E20635" w:rsidRPr="00E20635" w:rsidRDefault="00E20635" w:rsidP="00E20635">
            <w:pPr>
              <w:spacing w:after="0" w:line="240" w:lineRule="auto"/>
              <w:jc w:val="center"/>
              <w:rPr>
                <w:rFonts w:cs="Arial"/>
                <w:sz w:val="20"/>
              </w:rPr>
            </w:pPr>
            <w:r w:rsidRPr="00E20635">
              <w:rPr>
                <w:rFonts w:cs="Arial"/>
                <w:sz w:val="20"/>
              </w:rPr>
              <w:t>95</w:t>
            </w:r>
          </w:p>
        </w:tc>
        <w:tc>
          <w:tcPr>
            <w:tcW w:w="946" w:type="dxa"/>
            <w:vAlign w:val="center"/>
          </w:tcPr>
          <w:p w14:paraId="6C58F5B3" w14:textId="36467045" w:rsidR="00E20635" w:rsidRPr="00E20635" w:rsidRDefault="00E20635" w:rsidP="00E20635">
            <w:pPr>
              <w:spacing w:after="0" w:line="240" w:lineRule="auto"/>
              <w:jc w:val="center"/>
              <w:rPr>
                <w:rFonts w:cs="Arial"/>
                <w:sz w:val="20"/>
              </w:rPr>
            </w:pPr>
            <w:r w:rsidRPr="00E20635">
              <w:rPr>
                <w:rFonts w:cs="Arial"/>
                <w:sz w:val="20"/>
              </w:rPr>
              <w:t>73</w:t>
            </w:r>
          </w:p>
        </w:tc>
      </w:tr>
      <w:tr w:rsidR="00E20635" w:rsidRPr="00E20635" w14:paraId="2F66F3F2" w14:textId="77777777" w:rsidTr="00E20635">
        <w:tc>
          <w:tcPr>
            <w:tcW w:w="2879" w:type="dxa"/>
            <w:vAlign w:val="center"/>
          </w:tcPr>
          <w:p w14:paraId="029F39A5" w14:textId="77777777" w:rsidR="00E20635" w:rsidRPr="00E20635" w:rsidRDefault="00E20635" w:rsidP="00E20635">
            <w:pPr>
              <w:spacing w:after="0" w:line="240" w:lineRule="auto"/>
              <w:jc w:val="center"/>
              <w:rPr>
                <w:rFonts w:cs="Arial"/>
                <w:sz w:val="20"/>
              </w:rPr>
            </w:pPr>
            <w:r w:rsidRPr="00E20635">
              <w:rPr>
                <w:rFonts w:cs="Arial"/>
                <w:sz w:val="20"/>
              </w:rPr>
              <w:t>Kierowanie pojazdami mechanicznymi w stanie nietrzeźwości</w:t>
            </w:r>
          </w:p>
          <w:p w14:paraId="4B32BB7E" w14:textId="31732138" w:rsidR="00E20635" w:rsidRPr="00E20635" w:rsidRDefault="00E20635" w:rsidP="00E20635">
            <w:pPr>
              <w:spacing w:after="0" w:line="240" w:lineRule="auto"/>
              <w:jc w:val="center"/>
              <w:rPr>
                <w:rFonts w:cs="Arial"/>
                <w:sz w:val="20"/>
              </w:rPr>
            </w:pPr>
            <w:r w:rsidRPr="00E20635">
              <w:rPr>
                <w:rFonts w:cs="Arial"/>
                <w:sz w:val="20"/>
              </w:rPr>
              <w:t>(Ogółem)</w:t>
            </w:r>
          </w:p>
        </w:tc>
        <w:tc>
          <w:tcPr>
            <w:tcW w:w="945" w:type="dxa"/>
            <w:vAlign w:val="center"/>
          </w:tcPr>
          <w:p w14:paraId="744FABCF" w14:textId="474DC75B" w:rsidR="00E20635" w:rsidRPr="00E20635" w:rsidRDefault="00E20635" w:rsidP="00E20635">
            <w:pPr>
              <w:spacing w:after="0" w:line="240" w:lineRule="auto"/>
              <w:jc w:val="center"/>
              <w:rPr>
                <w:rFonts w:cs="Arial"/>
                <w:sz w:val="20"/>
              </w:rPr>
            </w:pPr>
            <w:r w:rsidRPr="00E20635">
              <w:rPr>
                <w:rFonts w:cs="Arial"/>
                <w:sz w:val="20"/>
              </w:rPr>
              <w:t>3 109</w:t>
            </w:r>
          </w:p>
        </w:tc>
        <w:tc>
          <w:tcPr>
            <w:tcW w:w="946" w:type="dxa"/>
            <w:vAlign w:val="center"/>
          </w:tcPr>
          <w:p w14:paraId="2F7F18A4" w14:textId="0DE5C20E" w:rsidR="00E20635" w:rsidRPr="00E20635" w:rsidRDefault="00E20635" w:rsidP="00E20635">
            <w:pPr>
              <w:spacing w:after="0" w:line="240" w:lineRule="auto"/>
              <w:jc w:val="center"/>
              <w:rPr>
                <w:rFonts w:cs="Arial"/>
                <w:sz w:val="20"/>
              </w:rPr>
            </w:pPr>
            <w:r w:rsidRPr="00E20635">
              <w:rPr>
                <w:rFonts w:cs="Arial"/>
                <w:sz w:val="20"/>
              </w:rPr>
              <w:t>3 480</w:t>
            </w:r>
          </w:p>
        </w:tc>
        <w:tc>
          <w:tcPr>
            <w:tcW w:w="945" w:type="dxa"/>
            <w:vAlign w:val="center"/>
          </w:tcPr>
          <w:p w14:paraId="39E1098B" w14:textId="42525E50" w:rsidR="00E20635" w:rsidRPr="00E20635" w:rsidRDefault="00E20635" w:rsidP="00E20635">
            <w:pPr>
              <w:spacing w:after="0" w:line="240" w:lineRule="auto"/>
              <w:jc w:val="center"/>
              <w:rPr>
                <w:rFonts w:cs="Arial"/>
                <w:sz w:val="20"/>
              </w:rPr>
            </w:pPr>
            <w:r w:rsidRPr="00E20635">
              <w:rPr>
                <w:rFonts w:cs="Arial"/>
                <w:sz w:val="20"/>
              </w:rPr>
              <w:t>3 046</w:t>
            </w:r>
          </w:p>
        </w:tc>
        <w:tc>
          <w:tcPr>
            <w:tcW w:w="946" w:type="dxa"/>
            <w:vAlign w:val="center"/>
          </w:tcPr>
          <w:p w14:paraId="0937FBA8" w14:textId="6CF90AFC" w:rsidR="00E20635" w:rsidRPr="00E20635" w:rsidRDefault="00E20635" w:rsidP="00E20635">
            <w:pPr>
              <w:spacing w:after="0" w:line="240" w:lineRule="auto"/>
              <w:jc w:val="center"/>
              <w:rPr>
                <w:rFonts w:cs="Arial"/>
                <w:sz w:val="20"/>
              </w:rPr>
            </w:pPr>
            <w:r w:rsidRPr="00E20635">
              <w:rPr>
                <w:rFonts w:cs="Arial"/>
                <w:sz w:val="20"/>
              </w:rPr>
              <w:t>3 382</w:t>
            </w:r>
          </w:p>
        </w:tc>
        <w:tc>
          <w:tcPr>
            <w:tcW w:w="945" w:type="dxa"/>
            <w:vAlign w:val="center"/>
          </w:tcPr>
          <w:p w14:paraId="43BE0D8F" w14:textId="4DDC6720" w:rsidR="00E20635" w:rsidRPr="00E20635" w:rsidRDefault="00E20635" w:rsidP="00E20635">
            <w:pPr>
              <w:spacing w:after="0" w:line="240" w:lineRule="auto"/>
              <w:jc w:val="center"/>
              <w:rPr>
                <w:rFonts w:cs="Arial"/>
                <w:sz w:val="20"/>
              </w:rPr>
            </w:pPr>
            <w:r w:rsidRPr="00E20635">
              <w:rPr>
                <w:rFonts w:cs="Arial"/>
                <w:sz w:val="20"/>
              </w:rPr>
              <w:t>2</w:t>
            </w:r>
            <w:r w:rsidR="00067565">
              <w:rPr>
                <w:rFonts w:cs="Arial"/>
                <w:sz w:val="20"/>
              </w:rPr>
              <w:t xml:space="preserve"> </w:t>
            </w:r>
            <w:r w:rsidRPr="00E20635">
              <w:rPr>
                <w:rFonts w:cs="Arial"/>
                <w:sz w:val="20"/>
              </w:rPr>
              <w:t>929</w:t>
            </w:r>
          </w:p>
        </w:tc>
        <w:tc>
          <w:tcPr>
            <w:tcW w:w="946" w:type="dxa"/>
            <w:vAlign w:val="center"/>
          </w:tcPr>
          <w:p w14:paraId="6D1B0342" w14:textId="1B6D2479" w:rsidR="00E20635" w:rsidRPr="00E20635" w:rsidRDefault="00E20635" w:rsidP="00E20635">
            <w:pPr>
              <w:spacing w:after="0" w:line="240" w:lineRule="auto"/>
              <w:jc w:val="center"/>
              <w:rPr>
                <w:rFonts w:cs="Arial"/>
                <w:sz w:val="20"/>
              </w:rPr>
            </w:pPr>
            <w:r w:rsidRPr="00E20635">
              <w:rPr>
                <w:rFonts w:cs="Arial"/>
                <w:sz w:val="20"/>
              </w:rPr>
              <w:t>2</w:t>
            </w:r>
            <w:r w:rsidR="00067565">
              <w:rPr>
                <w:rFonts w:cs="Arial"/>
                <w:sz w:val="20"/>
              </w:rPr>
              <w:t xml:space="preserve"> </w:t>
            </w:r>
            <w:r w:rsidRPr="00E20635">
              <w:rPr>
                <w:rFonts w:cs="Arial"/>
                <w:sz w:val="20"/>
              </w:rPr>
              <w:t>657</w:t>
            </w:r>
          </w:p>
        </w:tc>
        <w:tc>
          <w:tcPr>
            <w:tcW w:w="946" w:type="dxa"/>
            <w:vAlign w:val="center"/>
          </w:tcPr>
          <w:p w14:paraId="4058F2CA" w14:textId="451CF45F" w:rsidR="00E20635" w:rsidRPr="00E20635" w:rsidRDefault="00E20635" w:rsidP="00E20635">
            <w:pPr>
              <w:spacing w:after="0" w:line="240" w:lineRule="auto"/>
              <w:jc w:val="center"/>
              <w:rPr>
                <w:rFonts w:cs="Arial"/>
                <w:sz w:val="20"/>
              </w:rPr>
            </w:pPr>
            <w:r w:rsidRPr="00E20635">
              <w:rPr>
                <w:rFonts w:cs="Arial"/>
                <w:sz w:val="20"/>
              </w:rPr>
              <w:t>2</w:t>
            </w:r>
            <w:r w:rsidR="00067565">
              <w:rPr>
                <w:rFonts w:cs="Arial"/>
                <w:sz w:val="20"/>
              </w:rPr>
              <w:t xml:space="preserve"> </w:t>
            </w:r>
            <w:r w:rsidRPr="00E20635">
              <w:rPr>
                <w:rFonts w:cs="Arial"/>
                <w:sz w:val="20"/>
              </w:rPr>
              <w:t>555</w:t>
            </w:r>
          </w:p>
        </w:tc>
      </w:tr>
    </w:tbl>
    <w:p w14:paraId="620CBAF9" w14:textId="77777777" w:rsidR="00EF0A89" w:rsidRPr="00EF0A89" w:rsidRDefault="00EF0A89" w:rsidP="00EF0A89">
      <w:pPr>
        <w:spacing w:after="0" w:line="240" w:lineRule="auto"/>
        <w:ind w:firstLine="709"/>
        <w:jc w:val="both"/>
        <w:rPr>
          <w:rFonts w:cs="Arial"/>
          <w:sz w:val="18"/>
          <w:szCs w:val="18"/>
        </w:rPr>
      </w:pPr>
      <w:r w:rsidRPr="00EF0A89">
        <w:rPr>
          <w:rFonts w:cs="Arial"/>
          <w:sz w:val="18"/>
          <w:szCs w:val="18"/>
        </w:rPr>
        <w:t>Źródło: Dane własne KGP w Lublinie</w:t>
      </w:r>
    </w:p>
    <w:p w14:paraId="4B144861" w14:textId="77777777" w:rsidR="00EF0A89" w:rsidRPr="00EF0A89" w:rsidRDefault="00EF0A89" w:rsidP="00EF0A89"/>
    <w:p w14:paraId="746A652D" w14:textId="43F57632" w:rsidR="001676E4" w:rsidRPr="00317DE2" w:rsidRDefault="001676E4" w:rsidP="001676E4">
      <w:pPr>
        <w:keepNext/>
        <w:spacing w:after="0"/>
        <w:jc w:val="both"/>
        <w:rPr>
          <w:rFonts w:cs="Arial"/>
          <w:b/>
          <w:bCs/>
          <w:color w:val="000000"/>
          <w:sz w:val="22"/>
          <w:szCs w:val="22"/>
        </w:rPr>
      </w:pPr>
      <w:r w:rsidRPr="00317DE2">
        <w:rPr>
          <w:rFonts w:cs="Arial"/>
          <w:b/>
          <w:bCs/>
          <w:color w:val="000000"/>
          <w:sz w:val="22"/>
          <w:szCs w:val="22"/>
        </w:rPr>
        <w:t>Udział osób nietrzeźwych wobec podejrzanych ogółem w popełnianiu poszczególnych przestępstw w 2024 r</w:t>
      </w:r>
      <w:r w:rsidR="00067565">
        <w:rPr>
          <w:rFonts w:cs="Arial"/>
          <w:b/>
          <w:bCs/>
          <w:color w:val="000000"/>
          <w:sz w:val="22"/>
          <w:szCs w:val="22"/>
        </w:rPr>
        <w:t>oku</w:t>
      </w:r>
      <w:r w:rsidRPr="00317DE2">
        <w:rPr>
          <w:rFonts w:cs="Arial"/>
          <w:b/>
          <w:bCs/>
          <w:color w:val="000000"/>
          <w:sz w:val="22"/>
          <w:szCs w:val="22"/>
        </w:rPr>
        <w:t xml:space="preserve"> przedstawiał się następująco:</w:t>
      </w:r>
    </w:p>
    <w:p w14:paraId="30B869C8"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zabójstwo – 46,15%;</w:t>
      </w:r>
    </w:p>
    <w:p w14:paraId="2DBEF001"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uszczerbek na zdrowiu – 24,46 %;</w:t>
      </w:r>
    </w:p>
    <w:p w14:paraId="110A21BF"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udział w bójce lub pobiciu – 19,95%;</w:t>
      </w:r>
    </w:p>
    <w:p w14:paraId="4CBD4586"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zgwałcenia – 11,9%;</w:t>
      </w:r>
    </w:p>
    <w:p w14:paraId="1420F4CF"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kradzież cudzej rzeczy – 6,71%;</w:t>
      </w:r>
    </w:p>
    <w:p w14:paraId="4F5C557B"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kradzież z włamaniem – 7,73%;</w:t>
      </w:r>
    </w:p>
    <w:p w14:paraId="244836F0"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rozbój, kradzież i wymuszenie rozbójnicze – 13,39%;</w:t>
      </w:r>
    </w:p>
    <w:p w14:paraId="01705435" w14:textId="77777777" w:rsidR="001676E4" w:rsidRPr="00317DE2" w:rsidRDefault="001676E4" w:rsidP="001676E4">
      <w:pPr>
        <w:pStyle w:val="Akapitzlist"/>
        <w:keepNext/>
        <w:numPr>
          <w:ilvl w:val="0"/>
          <w:numId w:val="18"/>
        </w:numPr>
        <w:spacing w:after="0"/>
        <w:jc w:val="both"/>
        <w:rPr>
          <w:rFonts w:cs="Arial"/>
          <w:color w:val="000000"/>
          <w:sz w:val="22"/>
          <w:szCs w:val="22"/>
        </w:rPr>
      </w:pPr>
      <w:r w:rsidRPr="00317DE2">
        <w:rPr>
          <w:rFonts w:cs="Arial"/>
          <w:color w:val="000000"/>
          <w:sz w:val="22"/>
          <w:szCs w:val="22"/>
        </w:rPr>
        <w:t>uszkodzenie rzeczy – 17,01%.</w:t>
      </w:r>
    </w:p>
    <w:p w14:paraId="24F3353C" w14:textId="77777777" w:rsidR="001676E4" w:rsidRPr="004B3E03" w:rsidRDefault="001676E4" w:rsidP="00B11CBB">
      <w:pPr>
        <w:pStyle w:val="Nagwek2"/>
      </w:pPr>
      <w:bookmarkStart w:id="62" w:name="_Toc214277558"/>
      <w:bookmarkStart w:id="63" w:name="_Hlk44579380"/>
      <w:bookmarkEnd w:id="48"/>
      <w:r w:rsidRPr="004B3E03">
        <w:t xml:space="preserve">Współpraca </w:t>
      </w:r>
      <w:r w:rsidRPr="00A43860">
        <w:t>Samorządu</w:t>
      </w:r>
      <w:r w:rsidRPr="004B3E03">
        <w:t xml:space="preserve"> Województwa Lubelskiego z organizacjami pozarządowymi w</w:t>
      </w:r>
      <w:r>
        <w:t> </w:t>
      </w:r>
      <w:r w:rsidRPr="004B3E03">
        <w:t>zakresie profilaktyki i rozwiązywania problemów alkoholowych</w:t>
      </w:r>
      <w:bookmarkEnd w:id="62"/>
    </w:p>
    <w:p w14:paraId="214E127E" w14:textId="0BCDC673" w:rsidR="001676E4" w:rsidRPr="008955AD" w:rsidRDefault="001676E4" w:rsidP="001676E4">
      <w:pPr>
        <w:spacing w:after="0" w:line="360" w:lineRule="auto"/>
        <w:ind w:firstLine="426"/>
        <w:jc w:val="both"/>
        <w:rPr>
          <w:rFonts w:cs="Arial"/>
          <w:sz w:val="22"/>
          <w:szCs w:val="22"/>
        </w:rPr>
      </w:pPr>
      <w:r w:rsidRPr="008955AD">
        <w:rPr>
          <w:rFonts w:cs="Arial"/>
          <w:sz w:val="22"/>
          <w:szCs w:val="22"/>
        </w:rPr>
        <w:t>W województwie lubelskim funkcjonuje szereg organizacji prowadzących działalność pożytku publicznego w obszarze profilaktyki i rozwiązywania problemów alkoholowych. W latach 2022</w:t>
      </w:r>
      <w:r w:rsidR="003D20C7">
        <w:rPr>
          <w:rFonts w:cs="Arial"/>
          <w:sz w:val="22"/>
          <w:szCs w:val="22"/>
        </w:rPr>
        <w:t xml:space="preserve"> - </w:t>
      </w:r>
      <w:r w:rsidRPr="008955AD">
        <w:rPr>
          <w:rFonts w:cs="Arial"/>
          <w:sz w:val="22"/>
          <w:szCs w:val="22"/>
        </w:rPr>
        <w:t>202</w:t>
      </w:r>
      <w:r w:rsidR="005D1ABC">
        <w:rPr>
          <w:rFonts w:cs="Arial"/>
          <w:sz w:val="22"/>
          <w:szCs w:val="22"/>
        </w:rPr>
        <w:t>4</w:t>
      </w:r>
      <w:r w:rsidRPr="008955AD">
        <w:rPr>
          <w:rFonts w:cs="Arial"/>
          <w:sz w:val="22"/>
          <w:szCs w:val="22"/>
        </w:rPr>
        <w:t xml:space="preserve"> wysokość środków publicznych przyznanych przez Samorząd Województwa  Lubelskiego ww. podmiotom na realizację zadania wyniosła łącznie </w:t>
      </w:r>
      <w:r w:rsidR="005D1ABC">
        <w:rPr>
          <w:rFonts w:cs="Arial"/>
          <w:sz w:val="22"/>
          <w:szCs w:val="22"/>
        </w:rPr>
        <w:t>1 342 000</w:t>
      </w:r>
      <w:r w:rsidRPr="008955AD">
        <w:rPr>
          <w:rFonts w:cs="Arial"/>
          <w:sz w:val="22"/>
          <w:szCs w:val="22"/>
        </w:rPr>
        <w:t xml:space="preserve">,00 zł, zaś kwota wykorzystanych dotacji przez organizacje pozarządowe </w:t>
      </w:r>
      <w:r w:rsidR="005D1ABC">
        <w:rPr>
          <w:rFonts w:cs="Arial"/>
          <w:sz w:val="22"/>
          <w:szCs w:val="22"/>
        </w:rPr>
        <w:t>1 334 750,96</w:t>
      </w:r>
      <w:r>
        <w:rPr>
          <w:rFonts w:cs="Arial"/>
          <w:sz w:val="22"/>
          <w:szCs w:val="22"/>
        </w:rPr>
        <w:t> </w:t>
      </w:r>
      <w:r w:rsidRPr="008955AD">
        <w:rPr>
          <w:rFonts w:cs="Arial"/>
          <w:sz w:val="22"/>
          <w:szCs w:val="22"/>
        </w:rPr>
        <w:t xml:space="preserve">zł. </w:t>
      </w:r>
      <w:r w:rsidRPr="005D1ABC">
        <w:rPr>
          <w:rFonts w:cs="Arial"/>
          <w:sz w:val="22"/>
          <w:szCs w:val="22"/>
        </w:rPr>
        <w:t xml:space="preserve">Działania </w:t>
      </w:r>
      <w:r w:rsidRPr="005D1ABC">
        <w:rPr>
          <w:rFonts w:cs="Arial"/>
          <w:sz w:val="22"/>
          <w:szCs w:val="22"/>
        </w:rPr>
        <w:lastRenderedPageBreak/>
        <w:t>w tym zakresie prowadziło 18 organizacji w 2022 r</w:t>
      </w:r>
      <w:r w:rsidR="003D20C7">
        <w:rPr>
          <w:rFonts w:cs="Arial"/>
          <w:sz w:val="22"/>
          <w:szCs w:val="22"/>
        </w:rPr>
        <w:t>oku</w:t>
      </w:r>
      <w:r w:rsidR="005D1ABC" w:rsidRPr="005D1ABC">
        <w:rPr>
          <w:rFonts w:cs="Arial"/>
          <w:sz w:val="22"/>
          <w:szCs w:val="22"/>
        </w:rPr>
        <w:t>,</w:t>
      </w:r>
      <w:r w:rsidRPr="005D1ABC">
        <w:rPr>
          <w:rFonts w:cs="Arial"/>
          <w:sz w:val="22"/>
          <w:szCs w:val="22"/>
        </w:rPr>
        <w:t xml:space="preserve"> </w:t>
      </w:r>
      <w:r w:rsidR="005D1ABC" w:rsidRPr="005D1ABC">
        <w:rPr>
          <w:rFonts w:cs="Arial"/>
          <w:sz w:val="22"/>
          <w:szCs w:val="22"/>
        </w:rPr>
        <w:t>1</w:t>
      </w:r>
      <w:r w:rsidRPr="005D1ABC">
        <w:rPr>
          <w:rFonts w:cs="Arial"/>
          <w:sz w:val="22"/>
          <w:szCs w:val="22"/>
        </w:rPr>
        <w:t>1 organizacji w 2023 r</w:t>
      </w:r>
      <w:r w:rsidR="003D20C7">
        <w:rPr>
          <w:rFonts w:cs="Arial"/>
          <w:sz w:val="22"/>
          <w:szCs w:val="22"/>
        </w:rPr>
        <w:t>oku</w:t>
      </w:r>
      <w:r w:rsidR="005D1ABC">
        <w:rPr>
          <w:rFonts w:cs="Arial"/>
          <w:sz w:val="22"/>
          <w:szCs w:val="22"/>
        </w:rPr>
        <w:t xml:space="preserve"> oraz 16 w 2024 r</w:t>
      </w:r>
      <w:r w:rsidR="003D20C7">
        <w:rPr>
          <w:rFonts w:cs="Arial"/>
          <w:sz w:val="22"/>
          <w:szCs w:val="22"/>
        </w:rPr>
        <w:t>oku</w:t>
      </w:r>
      <w:r w:rsidR="005D1ABC">
        <w:rPr>
          <w:rFonts w:cs="Arial"/>
          <w:sz w:val="22"/>
          <w:szCs w:val="22"/>
        </w:rPr>
        <w:t>.</w:t>
      </w:r>
      <w:r w:rsidRPr="008955AD">
        <w:rPr>
          <w:rFonts w:cs="Arial"/>
          <w:sz w:val="22"/>
          <w:szCs w:val="22"/>
        </w:rPr>
        <w:t xml:space="preserve"> Współpracę tę realizował ROPS w Lublinie. W latach 2022-202</w:t>
      </w:r>
      <w:r w:rsidR="005D1ABC">
        <w:rPr>
          <w:rFonts w:cs="Arial"/>
          <w:sz w:val="22"/>
          <w:szCs w:val="22"/>
        </w:rPr>
        <w:t>4</w:t>
      </w:r>
      <w:r w:rsidRPr="008955AD">
        <w:rPr>
          <w:rFonts w:cs="Arial"/>
          <w:sz w:val="22"/>
          <w:szCs w:val="22"/>
        </w:rPr>
        <w:t xml:space="preserve"> zrealizowano:</w:t>
      </w:r>
    </w:p>
    <w:p w14:paraId="63DA5E28" w14:textId="1AB5F749" w:rsidR="001676E4" w:rsidRPr="00EF0A89" w:rsidRDefault="001676E4" w:rsidP="004A1692">
      <w:pPr>
        <w:numPr>
          <w:ilvl w:val="0"/>
          <w:numId w:val="35"/>
        </w:numPr>
        <w:tabs>
          <w:tab w:val="left" w:pos="284"/>
        </w:tabs>
        <w:spacing w:after="0" w:line="360" w:lineRule="auto"/>
        <w:ind w:left="284" w:hanging="284"/>
        <w:contextualSpacing/>
        <w:jc w:val="both"/>
        <w:rPr>
          <w:rFonts w:cs="Arial"/>
          <w:sz w:val="22"/>
          <w:szCs w:val="22"/>
        </w:rPr>
      </w:pPr>
      <w:bookmarkStart w:id="64" w:name="_Hlk108170603"/>
      <w:r w:rsidRPr="00EF0A89">
        <w:rPr>
          <w:rFonts w:cs="Arial"/>
          <w:sz w:val="22"/>
          <w:szCs w:val="22"/>
        </w:rPr>
        <w:t>Programy profilaktyki uniwersalnej, selektywnej i wskazującej o naukowych podstawach i potwierdzonej skuteczności, w tym programy rekomendowane oraz działania dotyczące promocji zdrowego stylu życia skierowane do dzieci, rodziców/opiekunów oraz wychowawców i nauczycieli.</w:t>
      </w:r>
      <w:r w:rsidR="00EF0A89" w:rsidRPr="00EF0A89">
        <w:rPr>
          <w:rFonts w:cs="Arial"/>
          <w:sz w:val="22"/>
          <w:szCs w:val="22"/>
        </w:rPr>
        <w:t xml:space="preserve"> </w:t>
      </w:r>
      <w:r w:rsidR="00FF1107">
        <w:rPr>
          <w:rFonts w:cs="Arial"/>
          <w:sz w:val="22"/>
          <w:szCs w:val="22"/>
        </w:rPr>
        <w:t>D</w:t>
      </w:r>
      <w:r w:rsidRPr="00EF0A89">
        <w:rPr>
          <w:rFonts w:cs="Arial"/>
          <w:sz w:val="22"/>
          <w:szCs w:val="22"/>
        </w:rPr>
        <w:t xml:space="preserve">ziałania tymi objęto łącznie </w:t>
      </w:r>
      <w:r w:rsidR="005D1ABC">
        <w:rPr>
          <w:rFonts w:cs="Arial"/>
          <w:sz w:val="22"/>
          <w:szCs w:val="22"/>
        </w:rPr>
        <w:t>9 458</w:t>
      </w:r>
      <w:r w:rsidRPr="00EF0A89">
        <w:rPr>
          <w:rFonts w:cs="Arial"/>
          <w:sz w:val="22"/>
          <w:szCs w:val="22"/>
        </w:rPr>
        <w:t xml:space="preserve"> os</w:t>
      </w:r>
      <w:r w:rsidR="005D1ABC">
        <w:rPr>
          <w:rFonts w:cs="Arial"/>
          <w:sz w:val="22"/>
          <w:szCs w:val="22"/>
        </w:rPr>
        <w:t>ó</w:t>
      </w:r>
      <w:r w:rsidRPr="00EF0A89">
        <w:rPr>
          <w:rFonts w:cs="Arial"/>
          <w:sz w:val="22"/>
          <w:szCs w:val="22"/>
        </w:rPr>
        <w:t>b.</w:t>
      </w:r>
    </w:p>
    <w:bookmarkEnd w:id="64"/>
    <w:p w14:paraId="4B5B0484" w14:textId="137F0D34" w:rsidR="001676E4" w:rsidRPr="008955AD" w:rsidRDefault="001676E4" w:rsidP="001676E4">
      <w:pPr>
        <w:numPr>
          <w:ilvl w:val="0"/>
          <w:numId w:val="35"/>
        </w:numPr>
        <w:tabs>
          <w:tab w:val="left" w:pos="284"/>
        </w:tabs>
        <w:spacing w:after="0" w:line="360" w:lineRule="auto"/>
        <w:ind w:left="284" w:hanging="284"/>
        <w:contextualSpacing/>
        <w:jc w:val="both"/>
        <w:rPr>
          <w:rFonts w:cs="Arial"/>
          <w:sz w:val="22"/>
          <w:szCs w:val="22"/>
        </w:rPr>
      </w:pPr>
      <w:r w:rsidRPr="008955AD">
        <w:rPr>
          <w:rFonts w:cs="Arial"/>
          <w:sz w:val="22"/>
          <w:szCs w:val="22"/>
        </w:rPr>
        <w:t>Programy w zakresie pomocy terapeutycznej, psychoterapeutycznej i rehabilitacyjnej dla osób uzależnionych od alkoholu, członków ich rodzin, osób współuzależnionych, w tym doznających przemocy domowej</w:t>
      </w:r>
      <w:bookmarkStart w:id="65" w:name="_Hlk108087835"/>
      <w:r w:rsidR="00FF1107">
        <w:rPr>
          <w:rFonts w:cs="Arial"/>
          <w:sz w:val="22"/>
          <w:szCs w:val="22"/>
        </w:rPr>
        <w:t>.</w:t>
      </w:r>
      <w:r w:rsidRPr="008955AD">
        <w:rPr>
          <w:rFonts w:cs="Arial"/>
          <w:sz w:val="22"/>
          <w:szCs w:val="22"/>
        </w:rPr>
        <w:t xml:space="preserve"> Programami objęto łącznie </w:t>
      </w:r>
      <w:r w:rsidR="005D1ABC">
        <w:rPr>
          <w:rFonts w:cs="Arial"/>
          <w:sz w:val="22"/>
          <w:szCs w:val="22"/>
        </w:rPr>
        <w:t>1 073</w:t>
      </w:r>
      <w:r w:rsidRPr="008955AD">
        <w:rPr>
          <w:rFonts w:cs="Arial"/>
          <w:sz w:val="22"/>
          <w:szCs w:val="22"/>
        </w:rPr>
        <w:t xml:space="preserve"> os</w:t>
      </w:r>
      <w:bookmarkEnd w:id="65"/>
      <w:r w:rsidRPr="008955AD">
        <w:rPr>
          <w:rFonts w:cs="Arial"/>
          <w:sz w:val="22"/>
          <w:szCs w:val="22"/>
        </w:rPr>
        <w:t>oby.</w:t>
      </w:r>
    </w:p>
    <w:p w14:paraId="7DC90993" w14:textId="2AAAB3C1" w:rsidR="001676E4" w:rsidRPr="008955AD" w:rsidRDefault="001676E4" w:rsidP="001676E4">
      <w:pPr>
        <w:numPr>
          <w:ilvl w:val="0"/>
          <w:numId w:val="35"/>
        </w:numPr>
        <w:tabs>
          <w:tab w:val="left" w:pos="284"/>
        </w:tabs>
        <w:spacing w:after="0" w:line="360" w:lineRule="auto"/>
        <w:ind w:left="284" w:hanging="284"/>
        <w:contextualSpacing/>
        <w:jc w:val="both"/>
        <w:rPr>
          <w:rFonts w:cs="Arial"/>
          <w:sz w:val="22"/>
          <w:szCs w:val="22"/>
        </w:rPr>
      </w:pPr>
      <w:bookmarkStart w:id="66" w:name="_Hlk212807115"/>
      <w:r w:rsidRPr="008955AD">
        <w:rPr>
          <w:rFonts w:cs="Arial"/>
          <w:sz w:val="22"/>
          <w:szCs w:val="22"/>
        </w:rPr>
        <w:t>Programy dotyczące specjalistycznego wsparcia udzielanego osobom wykluczonym lub</w:t>
      </w:r>
      <w:r w:rsidRPr="0024514A">
        <w:rPr>
          <w:rFonts w:cs="Arial"/>
          <w:sz w:val="22"/>
          <w:szCs w:val="22"/>
        </w:rPr>
        <w:t xml:space="preserve"> zagrożonym wykluczeniem z powodu problemu alkoholowego, w tym reintegracja społeczno-zawodowa oraz programy redukcji szkód</w:t>
      </w:r>
      <w:bookmarkStart w:id="67" w:name="_Hlk108089956"/>
      <w:r w:rsidRPr="008955AD">
        <w:rPr>
          <w:rFonts w:cs="Arial"/>
          <w:sz w:val="22"/>
          <w:szCs w:val="22"/>
        </w:rPr>
        <w:t xml:space="preserve">. Programami objęto łącznie </w:t>
      </w:r>
      <w:r w:rsidR="005D1ABC">
        <w:rPr>
          <w:rFonts w:cs="Arial"/>
          <w:sz w:val="22"/>
          <w:szCs w:val="22"/>
        </w:rPr>
        <w:t>292</w:t>
      </w:r>
      <w:r w:rsidRPr="008955AD">
        <w:rPr>
          <w:rFonts w:cs="Arial"/>
          <w:sz w:val="22"/>
          <w:szCs w:val="22"/>
        </w:rPr>
        <w:t xml:space="preserve"> osoby.</w:t>
      </w:r>
      <w:bookmarkEnd w:id="67"/>
    </w:p>
    <w:bookmarkEnd w:id="66"/>
    <w:p w14:paraId="24815380" w14:textId="5030A873" w:rsidR="001676E4" w:rsidRPr="008955AD" w:rsidRDefault="001676E4" w:rsidP="001676E4">
      <w:pPr>
        <w:numPr>
          <w:ilvl w:val="0"/>
          <w:numId w:val="35"/>
        </w:numPr>
        <w:spacing w:line="360" w:lineRule="auto"/>
        <w:ind w:left="284" w:hanging="284"/>
        <w:contextualSpacing/>
        <w:jc w:val="both"/>
        <w:rPr>
          <w:rFonts w:cs="Arial"/>
          <w:sz w:val="22"/>
          <w:szCs w:val="22"/>
        </w:rPr>
      </w:pPr>
      <w:r w:rsidRPr="008955AD">
        <w:rPr>
          <w:rFonts w:cs="Arial"/>
          <w:sz w:val="22"/>
          <w:szCs w:val="22"/>
        </w:rPr>
        <w:t>Działania edukacyjno-informacyjne na temat zagrożeń wynikających ze spożywania alkoholu. Działaniami objęto 30 osób.</w:t>
      </w:r>
    </w:p>
    <w:p w14:paraId="106D1C29" w14:textId="191B49D3" w:rsidR="001676E4" w:rsidRPr="0024514A" w:rsidRDefault="001676E4" w:rsidP="001676E4">
      <w:pPr>
        <w:spacing w:line="360" w:lineRule="auto"/>
        <w:ind w:firstLine="708"/>
        <w:jc w:val="both"/>
        <w:rPr>
          <w:rFonts w:cs="Arial"/>
          <w:sz w:val="22"/>
          <w:szCs w:val="22"/>
        </w:rPr>
      </w:pPr>
      <w:r w:rsidRPr="008955AD">
        <w:rPr>
          <w:rFonts w:cs="Arial"/>
          <w:sz w:val="22"/>
          <w:szCs w:val="22"/>
        </w:rPr>
        <w:t>Konkretna współpraca była rezultatem zawartych umów i przekazanych środków</w:t>
      </w:r>
      <w:r w:rsidRPr="0024514A">
        <w:rPr>
          <w:rFonts w:cs="Arial"/>
          <w:sz w:val="22"/>
          <w:szCs w:val="22"/>
        </w:rPr>
        <w:t xml:space="preserve"> finansowych na realizację zadań w </w:t>
      </w:r>
      <w:r w:rsidRPr="005D1ABC">
        <w:rPr>
          <w:rFonts w:cs="Arial"/>
          <w:sz w:val="22"/>
          <w:szCs w:val="22"/>
        </w:rPr>
        <w:t>latach 2022-202</w:t>
      </w:r>
      <w:r w:rsidR="005D1ABC" w:rsidRPr="005D1ABC">
        <w:rPr>
          <w:rFonts w:cs="Arial"/>
          <w:sz w:val="22"/>
          <w:szCs w:val="22"/>
        </w:rPr>
        <w:t>4</w:t>
      </w:r>
      <w:r w:rsidRPr="005D1ABC">
        <w:rPr>
          <w:rFonts w:cs="Arial"/>
          <w:sz w:val="22"/>
          <w:szCs w:val="22"/>
        </w:rPr>
        <w:t>.</w:t>
      </w:r>
      <w:r w:rsidRPr="0024514A">
        <w:rPr>
          <w:rFonts w:cs="Arial"/>
          <w:sz w:val="22"/>
          <w:szCs w:val="22"/>
        </w:rPr>
        <w:t xml:space="preserve"> Wyniki tej współpracy zostały przedstawione w poniższej tabeli.</w:t>
      </w:r>
    </w:p>
    <w:p w14:paraId="44DE0F62" w14:textId="7EFEED10" w:rsidR="001676E4" w:rsidRPr="0054713D" w:rsidRDefault="001676E4" w:rsidP="001676E4">
      <w:pPr>
        <w:pStyle w:val="Legenda"/>
        <w:keepNext/>
        <w:rPr>
          <w:sz w:val="20"/>
          <w:szCs w:val="16"/>
        </w:rPr>
      </w:pPr>
      <w:bookmarkStart w:id="68" w:name="_Toc214279701"/>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16</w:t>
      </w:r>
      <w:r w:rsidRPr="0054713D">
        <w:rPr>
          <w:sz w:val="20"/>
          <w:szCs w:val="16"/>
        </w:rPr>
        <w:fldChar w:fldCharType="end"/>
      </w:r>
      <w:r w:rsidRPr="0054713D">
        <w:rPr>
          <w:sz w:val="20"/>
          <w:szCs w:val="16"/>
        </w:rPr>
        <w:t>. Wyniki współpracy Samorządu Województwa Lubelskiego z organizacjami pozarządowymi w zakresie profilaktyki i rozwiązywania problemów alkoholowych w latach 2022-202</w:t>
      </w:r>
      <w:bookmarkEnd w:id="68"/>
      <w:r w:rsidR="005D1ABC">
        <w:rPr>
          <w:sz w:val="20"/>
          <w:szCs w:val="16"/>
        </w:rPr>
        <w:t>4</w:t>
      </w:r>
    </w:p>
    <w:tbl>
      <w:tblPr>
        <w:tblStyle w:val="Tabela-Siatka"/>
        <w:tblW w:w="9214" w:type="dxa"/>
        <w:tblInd w:w="108" w:type="dxa"/>
        <w:tblLayout w:type="fixed"/>
        <w:tblLook w:val="04A0" w:firstRow="1" w:lastRow="0" w:firstColumn="1" w:lastColumn="0" w:noHBand="0" w:noVBand="1"/>
      </w:tblPr>
      <w:tblGrid>
        <w:gridCol w:w="1985"/>
        <w:gridCol w:w="1984"/>
        <w:gridCol w:w="1701"/>
        <w:gridCol w:w="1843"/>
        <w:gridCol w:w="1701"/>
      </w:tblGrid>
      <w:tr w:rsidR="001676E4" w:rsidRPr="0054713D" w14:paraId="6F53FC3A" w14:textId="77777777" w:rsidTr="003D66E5">
        <w:trPr>
          <w:trHeight w:val="1637"/>
          <w:tblHeader/>
        </w:trPr>
        <w:tc>
          <w:tcPr>
            <w:tcW w:w="1985" w:type="dxa"/>
          </w:tcPr>
          <w:p w14:paraId="16010F2D" w14:textId="77777777" w:rsidR="001676E4" w:rsidRPr="0054713D" w:rsidRDefault="001676E4" w:rsidP="003D66E5">
            <w:pPr>
              <w:spacing w:after="0"/>
              <w:jc w:val="center"/>
              <w:rPr>
                <w:rFonts w:eastAsia="Calibri" w:cs="Arial"/>
                <w:b/>
                <w:bCs/>
                <w:sz w:val="20"/>
                <w:szCs w:val="16"/>
                <w:highlight w:val="yellow"/>
                <w:lang w:eastAsia="en-US"/>
              </w:rPr>
            </w:pPr>
            <w:r w:rsidRPr="0054713D">
              <w:rPr>
                <w:rFonts w:eastAsia="Calibri" w:cs="Arial"/>
                <w:b/>
                <w:bCs/>
                <w:sz w:val="20"/>
                <w:szCs w:val="16"/>
                <w:lang w:eastAsia="en-US"/>
              </w:rPr>
              <w:t xml:space="preserve">Profilaktyka i rozwiązywanie problemów alkoholowych </w:t>
            </w:r>
          </w:p>
        </w:tc>
        <w:tc>
          <w:tcPr>
            <w:tcW w:w="1984" w:type="dxa"/>
          </w:tcPr>
          <w:p w14:paraId="41AFEC64" w14:textId="77777777" w:rsidR="001676E4" w:rsidRPr="0054713D" w:rsidRDefault="001676E4" w:rsidP="003D66E5">
            <w:pPr>
              <w:spacing w:after="0"/>
              <w:jc w:val="center"/>
              <w:rPr>
                <w:rFonts w:cs="Arial"/>
                <w:b/>
                <w:bCs/>
                <w:sz w:val="20"/>
                <w:szCs w:val="16"/>
              </w:rPr>
            </w:pPr>
            <w:r w:rsidRPr="0054713D">
              <w:rPr>
                <w:rFonts w:cs="Arial"/>
                <w:b/>
                <w:bCs/>
                <w:sz w:val="20"/>
                <w:szCs w:val="16"/>
              </w:rPr>
              <w:t>Liczba organizacji realizujących zadanie w danym roku</w:t>
            </w:r>
          </w:p>
        </w:tc>
        <w:tc>
          <w:tcPr>
            <w:tcW w:w="1701" w:type="dxa"/>
          </w:tcPr>
          <w:p w14:paraId="150C9744" w14:textId="77777777" w:rsidR="001676E4" w:rsidRPr="0054713D" w:rsidRDefault="001676E4" w:rsidP="003D66E5">
            <w:pPr>
              <w:spacing w:after="0"/>
              <w:jc w:val="center"/>
              <w:rPr>
                <w:rFonts w:eastAsia="Calibri" w:cs="Arial"/>
                <w:b/>
                <w:bCs/>
                <w:sz w:val="20"/>
                <w:szCs w:val="16"/>
                <w:lang w:eastAsia="en-US"/>
              </w:rPr>
            </w:pPr>
            <w:r w:rsidRPr="0054713D">
              <w:rPr>
                <w:rFonts w:eastAsia="Calibri" w:cs="Arial"/>
                <w:b/>
                <w:bCs/>
                <w:sz w:val="20"/>
                <w:szCs w:val="16"/>
                <w:lang w:eastAsia="en-US"/>
              </w:rPr>
              <w:t>Wysokość środków publicznych przyznanych na realizację zadania (zł)</w:t>
            </w:r>
          </w:p>
        </w:tc>
        <w:tc>
          <w:tcPr>
            <w:tcW w:w="1843" w:type="dxa"/>
          </w:tcPr>
          <w:p w14:paraId="1F13C480" w14:textId="77777777" w:rsidR="001676E4" w:rsidRPr="0054713D" w:rsidRDefault="001676E4" w:rsidP="003D66E5">
            <w:pPr>
              <w:spacing w:after="0"/>
              <w:jc w:val="center"/>
              <w:rPr>
                <w:rFonts w:eastAsia="Calibri" w:cs="Arial"/>
                <w:b/>
                <w:bCs/>
                <w:sz w:val="20"/>
                <w:szCs w:val="16"/>
                <w:lang w:eastAsia="en-US"/>
              </w:rPr>
            </w:pPr>
            <w:r w:rsidRPr="0054713D">
              <w:rPr>
                <w:rFonts w:eastAsia="Calibri" w:cs="Arial"/>
                <w:b/>
                <w:bCs/>
                <w:sz w:val="20"/>
                <w:szCs w:val="16"/>
                <w:lang w:eastAsia="en-US"/>
              </w:rPr>
              <w:t>Kwota wykorzystanej dotacji (zł)</w:t>
            </w:r>
          </w:p>
        </w:tc>
        <w:tc>
          <w:tcPr>
            <w:tcW w:w="1701" w:type="dxa"/>
          </w:tcPr>
          <w:p w14:paraId="54663033" w14:textId="77777777" w:rsidR="001676E4" w:rsidRPr="0054713D" w:rsidRDefault="001676E4" w:rsidP="003D66E5">
            <w:pPr>
              <w:spacing w:after="0"/>
              <w:jc w:val="center"/>
              <w:rPr>
                <w:rFonts w:eastAsia="Calibri" w:cs="Arial"/>
                <w:b/>
                <w:bCs/>
                <w:sz w:val="20"/>
                <w:szCs w:val="16"/>
                <w:lang w:eastAsia="en-US"/>
              </w:rPr>
            </w:pPr>
            <w:r w:rsidRPr="0054713D">
              <w:rPr>
                <w:rFonts w:eastAsia="Calibri" w:cs="Arial"/>
                <w:b/>
                <w:bCs/>
                <w:sz w:val="20"/>
                <w:szCs w:val="16"/>
                <w:lang w:eastAsia="en-US"/>
              </w:rPr>
              <w:t>Liczba odbiorców zadania</w:t>
            </w:r>
          </w:p>
        </w:tc>
      </w:tr>
      <w:tr w:rsidR="001676E4" w:rsidRPr="0054713D" w14:paraId="7427635E" w14:textId="77777777" w:rsidTr="003D66E5">
        <w:tc>
          <w:tcPr>
            <w:tcW w:w="1985" w:type="dxa"/>
          </w:tcPr>
          <w:p w14:paraId="040025E6" w14:textId="77777777" w:rsidR="001676E4" w:rsidRPr="00904284" w:rsidRDefault="001676E4" w:rsidP="003D66E5">
            <w:pPr>
              <w:spacing w:after="120"/>
              <w:jc w:val="center"/>
              <w:rPr>
                <w:rFonts w:eastAsia="Calibri" w:cs="Arial"/>
                <w:b/>
                <w:bCs/>
                <w:sz w:val="20"/>
                <w:szCs w:val="16"/>
                <w:lang w:eastAsia="en-US"/>
              </w:rPr>
            </w:pPr>
            <w:r w:rsidRPr="00904284">
              <w:rPr>
                <w:rFonts w:eastAsia="Calibri" w:cs="Arial"/>
                <w:b/>
                <w:bCs/>
                <w:sz w:val="20"/>
                <w:szCs w:val="16"/>
                <w:lang w:eastAsia="en-US"/>
              </w:rPr>
              <w:t>2022</w:t>
            </w:r>
          </w:p>
        </w:tc>
        <w:tc>
          <w:tcPr>
            <w:tcW w:w="1984" w:type="dxa"/>
          </w:tcPr>
          <w:p w14:paraId="14BAA087" w14:textId="77777777" w:rsidR="001676E4" w:rsidRPr="0054713D" w:rsidRDefault="001676E4" w:rsidP="003D66E5">
            <w:pPr>
              <w:spacing w:after="120"/>
              <w:jc w:val="center"/>
              <w:rPr>
                <w:rFonts w:cs="Arial"/>
                <w:sz w:val="20"/>
                <w:szCs w:val="16"/>
              </w:rPr>
            </w:pPr>
            <w:r w:rsidRPr="0054713D">
              <w:rPr>
                <w:rFonts w:cs="Arial"/>
                <w:sz w:val="20"/>
                <w:szCs w:val="16"/>
              </w:rPr>
              <w:t>18</w:t>
            </w:r>
          </w:p>
        </w:tc>
        <w:tc>
          <w:tcPr>
            <w:tcW w:w="1701" w:type="dxa"/>
          </w:tcPr>
          <w:p w14:paraId="56AD28D1" w14:textId="77777777" w:rsidR="001676E4" w:rsidRPr="0054713D" w:rsidRDefault="001676E4" w:rsidP="003D66E5">
            <w:pPr>
              <w:spacing w:after="120"/>
              <w:jc w:val="center"/>
              <w:rPr>
                <w:rFonts w:eastAsia="Calibri" w:cs="Arial"/>
                <w:sz w:val="20"/>
                <w:szCs w:val="16"/>
                <w:lang w:eastAsia="en-US"/>
              </w:rPr>
            </w:pPr>
            <w:r w:rsidRPr="0054713D">
              <w:rPr>
                <w:rFonts w:eastAsia="Calibri" w:cs="Arial"/>
                <w:sz w:val="20"/>
                <w:szCs w:val="16"/>
                <w:lang w:eastAsia="en-US"/>
              </w:rPr>
              <w:t>522 000,00</w:t>
            </w:r>
          </w:p>
        </w:tc>
        <w:tc>
          <w:tcPr>
            <w:tcW w:w="1843" w:type="dxa"/>
          </w:tcPr>
          <w:p w14:paraId="4C03C898" w14:textId="77777777" w:rsidR="001676E4" w:rsidRPr="0054713D" w:rsidRDefault="001676E4" w:rsidP="003D66E5">
            <w:pPr>
              <w:spacing w:after="120"/>
              <w:jc w:val="center"/>
              <w:rPr>
                <w:rFonts w:eastAsia="Calibri" w:cs="Arial"/>
                <w:sz w:val="20"/>
                <w:szCs w:val="16"/>
                <w:lang w:eastAsia="en-US"/>
              </w:rPr>
            </w:pPr>
            <w:r w:rsidRPr="0054713D">
              <w:rPr>
                <w:rFonts w:eastAsia="Calibri" w:cs="Arial"/>
                <w:sz w:val="20"/>
                <w:szCs w:val="16"/>
                <w:lang w:eastAsia="en-US"/>
              </w:rPr>
              <w:t>518 116,96</w:t>
            </w:r>
          </w:p>
        </w:tc>
        <w:tc>
          <w:tcPr>
            <w:tcW w:w="1701" w:type="dxa"/>
          </w:tcPr>
          <w:p w14:paraId="483353EC" w14:textId="77777777" w:rsidR="001676E4" w:rsidRPr="0054713D" w:rsidRDefault="001676E4" w:rsidP="003D66E5">
            <w:pPr>
              <w:spacing w:after="120"/>
              <w:jc w:val="center"/>
              <w:rPr>
                <w:rFonts w:eastAsia="Calibri" w:cs="Arial"/>
                <w:sz w:val="20"/>
                <w:szCs w:val="16"/>
                <w:lang w:eastAsia="en-US"/>
              </w:rPr>
            </w:pPr>
            <w:r w:rsidRPr="0054713D">
              <w:rPr>
                <w:rFonts w:eastAsia="Calibri" w:cs="Arial"/>
                <w:sz w:val="20"/>
                <w:szCs w:val="16"/>
                <w:lang w:eastAsia="en-US"/>
              </w:rPr>
              <w:t>3 770</w:t>
            </w:r>
          </w:p>
        </w:tc>
      </w:tr>
      <w:tr w:rsidR="001676E4" w:rsidRPr="0054713D" w14:paraId="19536D3A" w14:textId="77777777" w:rsidTr="003D66E5">
        <w:tc>
          <w:tcPr>
            <w:tcW w:w="1985" w:type="dxa"/>
          </w:tcPr>
          <w:p w14:paraId="261BF6CD" w14:textId="77777777" w:rsidR="001676E4" w:rsidRPr="00904284" w:rsidRDefault="001676E4" w:rsidP="003D66E5">
            <w:pPr>
              <w:spacing w:after="120"/>
              <w:jc w:val="center"/>
              <w:rPr>
                <w:rFonts w:eastAsia="Calibri" w:cs="Arial"/>
                <w:b/>
                <w:bCs/>
                <w:sz w:val="20"/>
                <w:szCs w:val="16"/>
                <w:lang w:eastAsia="en-US"/>
              </w:rPr>
            </w:pPr>
            <w:r w:rsidRPr="00904284">
              <w:rPr>
                <w:rFonts w:eastAsia="Calibri" w:cs="Arial"/>
                <w:b/>
                <w:bCs/>
                <w:sz w:val="20"/>
                <w:szCs w:val="16"/>
                <w:lang w:eastAsia="en-US"/>
              </w:rPr>
              <w:t>2023</w:t>
            </w:r>
          </w:p>
        </w:tc>
        <w:tc>
          <w:tcPr>
            <w:tcW w:w="1984" w:type="dxa"/>
          </w:tcPr>
          <w:p w14:paraId="19D7CE72" w14:textId="77777777" w:rsidR="001676E4" w:rsidRPr="0054713D" w:rsidRDefault="001676E4" w:rsidP="003D66E5">
            <w:pPr>
              <w:spacing w:after="120"/>
              <w:jc w:val="center"/>
              <w:rPr>
                <w:rFonts w:cs="Arial"/>
                <w:sz w:val="20"/>
                <w:szCs w:val="16"/>
              </w:rPr>
            </w:pPr>
            <w:r w:rsidRPr="0054713D">
              <w:rPr>
                <w:rFonts w:cs="Arial"/>
                <w:sz w:val="20"/>
                <w:szCs w:val="16"/>
              </w:rPr>
              <w:t>11</w:t>
            </w:r>
          </w:p>
        </w:tc>
        <w:tc>
          <w:tcPr>
            <w:tcW w:w="1701" w:type="dxa"/>
          </w:tcPr>
          <w:p w14:paraId="0717B932" w14:textId="77777777" w:rsidR="001676E4" w:rsidRPr="0054713D" w:rsidRDefault="001676E4" w:rsidP="003D66E5">
            <w:pPr>
              <w:spacing w:after="120"/>
              <w:jc w:val="center"/>
              <w:rPr>
                <w:rFonts w:eastAsia="Calibri" w:cs="Arial"/>
                <w:sz w:val="20"/>
                <w:szCs w:val="16"/>
                <w:lang w:eastAsia="en-US"/>
              </w:rPr>
            </w:pPr>
            <w:r w:rsidRPr="0054713D">
              <w:rPr>
                <w:rFonts w:eastAsia="Calibri" w:cs="Arial"/>
                <w:sz w:val="20"/>
                <w:szCs w:val="16"/>
                <w:lang w:eastAsia="en-US"/>
              </w:rPr>
              <w:t>480 000,00</w:t>
            </w:r>
          </w:p>
        </w:tc>
        <w:tc>
          <w:tcPr>
            <w:tcW w:w="1843" w:type="dxa"/>
          </w:tcPr>
          <w:p w14:paraId="3428551C" w14:textId="77777777" w:rsidR="001676E4" w:rsidRPr="0054713D" w:rsidRDefault="001676E4" w:rsidP="003D66E5">
            <w:pPr>
              <w:spacing w:after="120"/>
              <w:jc w:val="center"/>
              <w:rPr>
                <w:rFonts w:eastAsia="Calibri" w:cs="Arial"/>
                <w:sz w:val="20"/>
                <w:szCs w:val="16"/>
                <w:lang w:eastAsia="en-US"/>
              </w:rPr>
            </w:pPr>
            <w:r w:rsidRPr="0054713D">
              <w:rPr>
                <w:rFonts w:eastAsia="Calibri" w:cs="Arial"/>
                <w:sz w:val="20"/>
                <w:szCs w:val="16"/>
                <w:lang w:eastAsia="en-US"/>
              </w:rPr>
              <w:t>479 199,57</w:t>
            </w:r>
          </w:p>
        </w:tc>
        <w:tc>
          <w:tcPr>
            <w:tcW w:w="1701" w:type="dxa"/>
          </w:tcPr>
          <w:p w14:paraId="0A55D184" w14:textId="77777777" w:rsidR="001676E4" w:rsidRPr="0054713D" w:rsidRDefault="001676E4" w:rsidP="003D66E5">
            <w:pPr>
              <w:spacing w:after="120"/>
              <w:jc w:val="center"/>
              <w:rPr>
                <w:rFonts w:eastAsia="Calibri" w:cs="Arial"/>
                <w:sz w:val="20"/>
                <w:szCs w:val="16"/>
                <w:lang w:eastAsia="en-US"/>
              </w:rPr>
            </w:pPr>
            <w:r w:rsidRPr="0054713D">
              <w:rPr>
                <w:rFonts w:eastAsia="Calibri" w:cs="Arial"/>
                <w:sz w:val="20"/>
                <w:szCs w:val="16"/>
                <w:lang w:eastAsia="en-US"/>
              </w:rPr>
              <w:t>4 140</w:t>
            </w:r>
          </w:p>
        </w:tc>
      </w:tr>
      <w:tr w:rsidR="00FF1107" w:rsidRPr="0054713D" w14:paraId="0B705EFC" w14:textId="77777777" w:rsidTr="003D66E5">
        <w:tc>
          <w:tcPr>
            <w:tcW w:w="1985" w:type="dxa"/>
          </w:tcPr>
          <w:p w14:paraId="271623AA" w14:textId="585A671F" w:rsidR="00FF1107" w:rsidRPr="005D1ABC" w:rsidRDefault="00FF1107" w:rsidP="003D66E5">
            <w:pPr>
              <w:spacing w:after="120"/>
              <w:jc w:val="center"/>
              <w:rPr>
                <w:rFonts w:eastAsia="Calibri" w:cs="Arial"/>
                <w:b/>
                <w:bCs/>
                <w:sz w:val="20"/>
                <w:szCs w:val="16"/>
                <w:lang w:eastAsia="en-US"/>
              </w:rPr>
            </w:pPr>
            <w:r w:rsidRPr="005D1ABC">
              <w:rPr>
                <w:rFonts w:eastAsia="Calibri" w:cs="Arial"/>
                <w:b/>
                <w:bCs/>
                <w:sz w:val="20"/>
                <w:szCs w:val="16"/>
                <w:lang w:eastAsia="en-US"/>
              </w:rPr>
              <w:t>2024</w:t>
            </w:r>
          </w:p>
        </w:tc>
        <w:tc>
          <w:tcPr>
            <w:tcW w:w="1984" w:type="dxa"/>
          </w:tcPr>
          <w:p w14:paraId="1762F65E" w14:textId="7546E114" w:rsidR="00FF1107" w:rsidRPr="0054713D" w:rsidRDefault="005D1ABC" w:rsidP="003D66E5">
            <w:pPr>
              <w:spacing w:after="120"/>
              <w:jc w:val="center"/>
              <w:rPr>
                <w:rFonts w:cs="Arial"/>
                <w:sz w:val="20"/>
                <w:szCs w:val="16"/>
              </w:rPr>
            </w:pPr>
            <w:r>
              <w:rPr>
                <w:rFonts w:cs="Arial"/>
                <w:sz w:val="20"/>
                <w:szCs w:val="16"/>
              </w:rPr>
              <w:t>16</w:t>
            </w:r>
          </w:p>
        </w:tc>
        <w:tc>
          <w:tcPr>
            <w:tcW w:w="1701" w:type="dxa"/>
          </w:tcPr>
          <w:p w14:paraId="4A92442C" w14:textId="49F59341" w:rsidR="00FF1107" w:rsidRPr="0054713D" w:rsidRDefault="005D1ABC" w:rsidP="003D66E5">
            <w:pPr>
              <w:spacing w:after="120"/>
              <w:jc w:val="center"/>
              <w:rPr>
                <w:rFonts w:eastAsia="Calibri" w:cs="Arial"/>
                <w:sz w:val="20"/>
                <w:szCs w:val="16"/>
                <w:lang w:eastAsia="en-US"/>
              </w:rPr>
            </w:pPr>
            <w:r>
              <w:rPr>
                <w:rFonts w:eastAsia="Calibri" w:cs="Arial"/>
                <w:sz w:val="20"/>
                <w:szCs w:val="16"/>
                <w:lang w:eastAsia="en-US"/>
              </w:rPr>
              <w:t>340 000,00</w:t>
            </w:r>
          </w:p>
        </w:tc>
        <w:tc>
          <w:tcPr>
            <w:tcW w:w="1843" w:type="dxa"/>
          </w:tcPr>
          <w:p w14:paraId="684E2586" w14:textId="7513A3B1" w:rsidR="00FF1107" w:rsidRPr="0054713D" w:rsidRDefault="005D1ABC" w:rsidP="003D66E5">
            <w:pPr>
              <w:spacing w:after="120"/>
              <w:jc w:val="center"/>
              <w:rPr>
                <w:rFonts w:eastAsia="Calibri" w:cs="Arial"/>
                <w:sz w:val="20"/>
                <w:szCs w:val="16"/>
                <w:lang w:eastAsia="en-US"/>
              </w:rPr>
            </w:pPr>
            <w:r>
              <w:rPr>
                <w:rFonts w:eastAsia="Calibri" w:cs="Arial"/>
                <w:sz w:val="20"/>
                <w:szCs w:val="16"/>
                <w:lang w:eastAsia="en-US"/>
              </w:rPr>
              <w:t>337 434,43</w:t>
            </w:r>
          </w:p>
        </w:tc>
        <w:tc>
          <w:tcPr>
            <w:tcW w:w="1701" w:type="dxa"/>
          </w:tcPr>
          <w:p w14:paraId="190261D8" w14:textId="4DFD0265" w:rsidR="00FF1107" w:rsidRPr="0054713D" w:rsidRDefault="005D1ABC" w:rsidP="003D66E5">
            <w:pPr>
              <w:spacing w:after="120"/>
              <w:jc w:val="center"/>
              <w:rPr>
                <w:rFonts w:eastAsia="Calibri" w:cs="Arial"/>
                <w:sz w:val="20"/>
                <w:szCs w:val="16"/>
                <w:lang w:eastAsia="en-US"/>
              </w:rPr>
            </w:pPr>
            <w:r>
              <w:rPr>
                <w:rFonts w:eastAsia="Calibri" w:cs="Arial"/>
                <w:sz w:val="20"/>
                <w:szCs w:val="16"/>
                <w:lang w:eastAsia="en-US"/>
              </w:rPr>
              <w:t>2 933</w:t>
            </w:r>
          </w:p>
        </w:tc>
      </w:tr>
    </w:tbl>
    <w:p w14:paraId="30920D5B" w14:textId="77777777" w:rsidR="001676E4" w:rsidRPr="0024514A" w:rsidRDefault="001676E4" w:rsidP="001676E4">
      <w:pPr>
        <w:spacing w:line="360" w:lineRule="auto"/>
        <w:jc w:val="both"/>
        <w:rPr>
          <w:rFonts w:cs="Arial"/>
          <w:sz w:val="16"/>
          <w:szCs w:val="16"/>
        </w:rPr>
      </w:pPr>
      <w:r w:rsidRPr="0024514A">
        <w:rPr>
          <w:rFonts w:cs="Arial"/>
          <w:sz w:val="16"/>
          <w:szCs w:val="16"/>
        </w:rPr>
        <w:t>Źródło: dane własne ROPS w Lublinie</w:t>
      </w:r>
    </w:p>
    <w:p w14:paraId="6E173A3E" w14:textId="27A9E28A" w:rsidR="001676E4" w:rsidRPr="0024514A" w:rsidRDefault="001676E4" w:rsidP="001676E4">
      <w:pPr>
        <w:spacing w:line="360" w:lineRule="auto"/>
        <w:ind w:firstLine="567"/>
        <w:jc w:val="both"/>
        <w:rPr>
          <w:rFonts w:cs="Arial"/>
          <w:sz w:val="22"/>
          <w:szCs w:val="22"/>
        </w:rPr>
      </w:pPr>
      <w:bookmarkStart w:id="69" w:name="_Hlk212728277"/>
      <w:r w:rsidRPr="0024514A">
        <w:rPr>
          <w:rFonts w:cs="Arial"/>
          <w:sz w:val="22"/>
          <w:szCs w:val="22"/>
        </w:rPr>
        <w:t>Do organizacji, które w latach 2022-202</w:t>
      </w:r>
      <w:r w:rsidR="00FF1107">
        <w:rPr>
          <w:rFonts w:cs="Arial"/>
          <w:sz w:val="22"/>
          <w:szCs w:val="22"/>
        </w:rPr>
        <w:t>4</w:t>
      </w:r>
      <w:r w:rsidRPr="0024514A">
        <w:rPr>
          <w:rFonts w:cs="Arial"/>
          <w:sz w:val="22"/>
          <w:szCs w:val="22"/>
        </w:rPr>
        <w:t xml:space="preserve"> aktywnie współpracowały z Samorządem Województwa Lubelskiego w zakresie realizacji zadań z zakresu profilaktyki i rozwiązywania problemów alkoholowych zalicza się:</w:t>
      </w:r>
    </w:p>
    <w:p w14:paraId="0C2242BB"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Towarzystwo Nowa Kuźnia w Lublinie;</w:t>
      </w:r>
    </w:p>
    <w:p w14:paraId="1966AA1F"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Stowarzyszenie Integracji Rodzin „Przystań” w Chełmie;</w:t>
      </w:r>
    </w:p>
    <w:p w14:paraId="129924DB"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Charytatywne Stowarzyszenie Niesienia Pomocy Chorym Uzależnionym od Alkoholu „NADZIEJA” w Lublinie;</w:t>
      </w:r>
    </w:p>
    <w:p w14:paraId="1827A4E0"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lastRenderedPageBreak/>
        <w:t>Stowarzyszenie „Kontakt” w Lublinie;</w:t>
      </w:r>
    </w:p>
    <w:p w14:paraId="43ECEB82"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Katolickie Stowarzyszenie Pomocy Osobom Potrzebującym „Agape” w  Lublinie;</w:t>
      </w:r>
    </w:p>
    <w:p w14:paraId="7313B4AA"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 xml:space="preserve">Fundacja Sempre a </w:t>
      </w:r>
      <w:proofErr w:type="spellStart"/>
      <w:r w:rsidRPr="0024514A">
        <w:rPr>
          <w:rFonts w:cs="Arial"/>
          <w:sz w:val="22"/>
          <w:szCs w:val="22"/>
        </w:rPr>
        <w:t>Frente</w:t>
      </w:r>
      <w:proofErr w:type="spellEnd"/>
      <w:r w:rsidRPr="0024514A">
        <w:rPr>
          <w:rFonts w:cs="Arial"/>
          <w:sz w:val="22"/>
          <w:szCs w:val="22"/>
        </w:rPr>
        <w:t xml:space="preserve"> w Lublinie;</w:t>
      </w:r>
    </w:p>
    <w:p w14:paraId="5606C0D0"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Stowarzyszenie Przyjaciół Dzieci „O uśmiech dziecka” w Chełmie;</w:t>
      </w:r>
    </w:p>
    <w:p w14:paraId="5C1FCA7F"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„Fundacja Amigo - Polska” w Lublinie;</w:t>
      </w:r>
    </w:p>
    <w:p w14:paraId="4AA8494C"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Fundacja Szczęśliwe Dzieciństwo w Lublinie;</w:t>
      </w:r>
    </w:p>
    <w:p w14:paraId="3510B650"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Stowarzyszenie Profilaktyki i Psychoterapii Uzależnień „Pomocni ludziom” w Kraśniku;</w:t>
      </w:r>
    </w:p>
    <w:p w14:paraId="5D2EDC66"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Lubelski Oddział Okręgowy Polskiego Czerwonego Krzyża w Lublinie;</w:t>
      </w:r>
    </w:p>
    <w:p w14:paraId="69CA1DE1"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Stowarzyszenie „Spełniamy Marzenia” w Kraśniku;</w:t>
      </w:r>
    </w:p>
    <w:p w14:paraId="09E91F00"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Stowarzyszenie „Rysa” w Lublinie;</w:t>
      </w:r>
    </w:p>
    <w:p w14:paraId="4F5709CE"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Świdnicka Grupa Teatralna „Teatr Drogi” w Kraśniku;</w:t>
      </w:r>
    </w:p>
    <w:p w14:paraId="3F10DC74" w14:textId="75D497C2"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Stowarzyszenie „Monar” Zarząd Główny w Warszawie</w:t>
      </w:r>
      <w:r w:rsidR="009D1A7A">
        <w:rPr>
          <w:rFonts w:cs="Arial"/>
          <w:sz w:val="22"/>
          <w:szCs w:val="22"/>
        </w:rPr>
        <w:t>, oddział w Lublinie i Puławach</w:t>
      </w:r>
    </w:p>
    <w:p w14:paraId="04E6304D" w14:textId="77777777" w:rsidR="001676E4" w:rsidRPr="0024514A" w:rsidRDefault="001676E4" w:rsidP="001676E4">
      <w:pPr>
        <w:numPr>
          <w:ilvl w:val="0"/>
          <w:numId w:val="34"/>
        </w:numPr>
        <w:spacing w:after="0" w:line="360" w:lineRule="auto"/>
        <w:ind w:left="641" w:hanging="357"/>
        <w:rPr>
          <w:rFonts w:cs="Arial"/>
          <w:sz w:val="22"/>
          <w:szCs w:val="22"/>
        </w:rPr>
      </w:pPr>
      <w:r w:rsidRPr="0024514A">
        <w:rPr>
          <w:rFonts w:cs="Arial"/>
          <w:sz w:val="22"/>
          <w:szCs w:val="22"/>
        </w:rPr>
        <w:t>Fundacja „Między Nami” w Krężnicy Jarej;</w:t>
      </w:r>
    </w:p>
    <w:p w14:paraId="0DD7AB81" w14:textId="77777777" w:rsidR="001676E4" w:rsidRPr="008955AD" w:rsidRDefault="001676E4" w:rsidP="001676E4">
      <w:pPr>
        <w:numPr>
          <w:ilvl w:val="0"/>
          <w:numId w:val="34"/>
        </w:numPr>
        <w:spacing w:after="0" w:line="360" w:lineRule="auto"/>
        <w:ind w:left="641" w:hanging="357"/>
        <w:rPr>
          <w:rFonts w:cs="Arial"/>
          <w:sz w:val="22"/>
          <w:szCs w:val="22"/>
        </w:rPr>
      </w:pPr>
      <w:r w:rsidRPr="008955AD">
        <w:rPr>
          <w:rFonts w:cs="Arial"/>
          <w:sz w:val="22"/>
          <w:szCs w:val="22"/>
        </w:rPr>
        <w:t>Spółdzielnia Socjalna SDESIGN w Kraśniku/ Spółdzielnia Socjalna „Nowy Pomysł” w Kraśniku” (nastąpiła zmiana nazwy);</w:t>
      </w:r>
    </w:p>
    <w:p w14:paraId="25DB29D0" w14:textId="77777777" w:rsidR="001676E4" w:rsidRPr="008955AD" w:rsidRDefault="001676E4" w:rsidP="001676E4">
      <w:pPr>
        <w:numPr>
          <w:ilvl w:val="0"/>
          <w:numId w:val="34"/>
        </w:numPr>
        <w:spacing w:after="0" w:line="360" w:lineRule="auto"/>
        <w:ind w:left="641" w:hanging="357"/>
        <w:rPr>
          <w:rFonts w:cs="Arial"/>
          <w:sz w:val="22"/>
          <w:szCs w:val="22"/>
        </w:rPr>
      </w:pPr>
      <w:r w:rsidRPr="008955AD">
        <w:rPr>
          <w:rFonts w:cs="Arial"/>
          <w:sz w:val="22"/>
          <w:szCs w:val="22"/>
        </w:rPr>
        <w:t xml:space="preserve">Fundacja „Skrzydła dla Edukacji” w Lublinie; </w:t>
      </w:r>
    </w:p>
    <w:p w14:paraId="63DFE202" w14:textId="77777777" w:rsidR="001676E4" w:rsidRPr="008955AD" w:rsidRDefault="001676E4" w:rsidP="001676E4">
      <w:pPr>
        <w:numPr>
          <w:ilvl w:val="0"/>
          <w:numId w:val="34"/>
        </w:numPr>
        <w:spacing w:after="0" w:line="360" w:lineRule="auto"/>
        <w:ind w:left="641" w:hanging="357"/>
        <w:rPr>
          <w:rFonts w:cs="Arial"/>
          <w:sz w:val="22"/>
          <w:szCs w:val="22"/>
        </w:rPr>
      </w:pPr>
      <w:r w:rsidRPr="008955AD">
        <w:rPr>
          <w:rFonts w:cs="Arial"/>
          <w:sz w:val="22"/>
          <w:szCs w:val="22"/>
        </w:rPr>
        <w:t>Stowarzyszenie Klubu Abstynenta Wzajemnej Pomocy „Oaza” w Świdniku.</w:t>
      </w:r>
      <w:bookmarkEnd w:id="69"/>
    </w:p>
    <w:p w14:paraId="1EEE5194" w14:textId="77777777" w:rsidR="001676E4" w:rsidRPr="00317DE2" w:rsidRDefault="001676E4" w:rsidP="00B11CBB">
      <w:pPr>
        <w:pStyle w:val="Nagwek2"/>
      </w:pPr>
      <w:bookmarkStart w:id="70" w:name="_Toc214277559"/>
      <w:r w:rsidRPr="00317DE2">
        <w:t>Działalność Regionalnego Punktu Diagnozy i Terapii FAS/FASD</w:t>
      </w:r>
      <w:r>
        <w:t xml:space="preserve"> </w:t>
      </w:r>
      <w:r w:rsidRPr="00317DE2">
        <w:t>w Lublinie</w:t>
      </w:r>
      <w:bookmarkEnd w:id="70"/>
    </w:p>
    <w:p w14:paraId="37BC4EFE"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ab/>
        <w:t xml:space="preserve">Jednym z problemów społecznych i zdrowotnych wynikających ze spożywania alkoholu jest występowanie płodowego zespołu alkoholowego (FAS), czyli specyficzne wrodzone upośledzenie rozwoju spowodowane prenatalną ekspozycją na alkohol. Szeroki zakres skutków związanych z piciem alkoholu przez matkę w ciąży – określany jest jako FASD. Picie alkoholu przez kobiety w ciąży to problem złożony. Powodów sięgania po alkohol może być wiele, ale do najczęstszych przyczyn można zaliczyć: </w:t>
      </w:r>
    </w:p>
    <w:p w14:paraId="4E2F30E7"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brak wiedzy o ciąży na jej wczesnym etapie,</w:t>
      </w:r>
    </w:p>
    <w:p w14:paraId="0373E477"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brak wiedzy nt. możliwych szkodliwych skutków dla zdrowia i rozwoju dziecka,</w:t>
      </w:r>
    </w:p>
    <w:p w14:paraId="101054D8"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negatywny stosunek do ciąży, brak akceptacji ciąży,</w:t>
      </w:r>
    </w:p>
    <w:p w14:paraId="5D938B01"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niedojrzałość emocjonalna, stawianie swojego dobrostanu wyżej niż dobrostanu dziecka,</w:t>
      </w:r>
    </w:p>
    <w:p w14:paraId="00488979"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chęć wyciszenia się przy użyciu alkoholu, zrelaksowania się,</w:t>
      </w:r>
    </w:p>
    <w:p w14:paraId="79CE8DD7"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utrzymywanie błędnych stereotypów, mitów nt. spożywania alkoholu w czasie ciąży,</w:t>
      </w:r>
    </w:p>
    <w:p w14:paraId="04247BBA" w14:textId="77777777" w:rsidR="001676E4" w:rsidRPr="00317DE2" w:rsidRDefault="001676E4" w:rsidP="001676E4">
      <w:pPr>
        <w:pStyle w:val="Akapitzlist"/>
        <w:numPr>
          <w:ilvl w:val="0"/>
          <w:numId w:val="33"/>
        </w:numPr>
        <w:tabs>
          <w:tab w:val="left" w:pos="426"/>
        </w:tabs>
        <w:spacing w:after="0" w:line="360" w:lineRule="auto"/>
        <w:jc w:val="both"/>
        <w:rPr>
          <w:rFonts w:cs="Arial"/>
          <w:sz w:val="22"/>
          <w:szCs w:val="22"/>
        </w:rPr>
      </w:pPr>
      <w:r w:rsidRPr="00317DE2">
        <w:rPr>
          <w:rFonts w:cs="Arial"/>
          <w:sz w:val="22"/>
          <w:szCs w:val="22"/>
        </w:rPr>
        <w:t>uzależnienie od alkoholu.</w:t>
      </w:r>
    </w:p>
    <w:p w14:paraId="06AB51C9" w14:textId="5F7A1FEF" w:rsidR="001676E4" w:rsidRPr="00317DE2" w:rsidRDefault="001676E4" w:rsidP="001676E4">
      <w:pPr>
        <w:tabs>
          <w:tab w:val="left" w:pos="426"/>
        </w:tabs>
        <w:spacing w:after="0" w:line="360" w:lineRule="auto"/>
        <w:ind w:firstLine="567"/>
        <w:jc w:val="both"/>
        <w:rPr>
          <w:rFonts w:cs="Arial"/>
          <w:sz w:val="22"/>
          <w:szCs w:val="22"/>
        </w:rPr>
      </w:pPr>
      <w:r w:rsidRPr="00317DE2">
        <w:rPr>
          <w:rFonts w:cs="Arial"/>
          <w:sz w:val="22"/>
          <w:szCs w:val="22"/>
        </w:rPr>
        <w:tab/>
        <w:t xml:space="preserve">Niezależnie od wyżej wymienionych powodów, problem dotyka dzieci, których matki spożywały alkohol w czasie okresu prenatalnego i z tego powodu dzieci te po narodzeniu </w:t>
      </w:r>
      <w:r w:rsidRPr="00317DE2">
        <w:rPr>
          <w:rFonts w:cs="Arial"/>
          <w:sz w:val="22"/>
          <w:szCs w:val="22"/>
        </w:rPr>
        <w:lastRenderedPageBreak/>
        <w:t>doświadczają negatywnych skutków zdrowotnych, społecznych, rozwojowych. Należy zaznaczyć</w:t>
      </w:r>
      <w:r w:rsidR="003D20C7">
        <w:rPr>
          <w:rFonts w:cs="Arial"/>
          <w:sz w:val="22"/>
          <w:szCs w:val="22"/>
        </w:rPr>
        <w:t>,</w:t>
      </w:r>
      <w:r w:rsidRPr="00317DE2">
        <w:rPr>
          <w:rFonts w:cs="Arial"/>
          <w:sz w:val="22"/>
          <w:szCs w:val="22"/>
        </w:rPr>
        <w:t xml:space="preserve"> że jednym z mitów nt. występowania FAS/FASD jest stereotyp mówiący o tym, że jest to problem kobiet, które nadużywają alkoholu lub spożywają mocne alkohole. Nie jest to prawda. Nie ma bezpiecznej dawki alkoholu w czasie ciąży i już jednorazowe spożycie niewielkich ilości, np. lampka wina czy szklanka piwa może rodzić niebezpieczne następstwa dla rozwijającego się płodu. Wyniki badań w tym zakresie nie są optymistyczne, choć należy zaznaczyć, że mało jest analiz prowadzonych w tym obszarze. Wyniki ogólnopolskiego badania populacyjnego ALICJA (Alkohol i Ciąża – Jak Pomóc Dziecku), przeprowadzonego przez Państwową Agencję Rozwiązywania Problemów Alkoholowych w 2015 roku, wskazują, że FASD występuje nie rzadziej niż u 20 na 1</w:t>
      </w:r>
      <w:r w:rsidR="003D20C7">
        <w:rPr>
          <w:rFonts w:cs="Arial"/>
          <w:sz w:val="22"/>
          <w:szCs w:val="22"/>
        </w:rPr>
        <w:t xml:space="preserve"> </w:t>
      </w:r>
      <w:r w:rsidRPr="00317DE2">
        <w:rPr>
          <w:rFonts w:cs="Arial"/>
          <w:sz w:val="22"/>
          <w:szCs w:val="22"/>
        </w:rPr>
        <w:t>000 dzieci w wieku 7–9 lat, co pozwala przypuszczać, że każdego roku w Polsce rodzi się 7</w:t>
      </w:r>
      <w:r w:rsidR="003D20C7">
        <w:rPr>
          <w:rFonts w:cs="Arial"/>
          <w:sz w:val="22"/>
          <w:szCs w:val="22"/>
        </w:rPr>
        <w:t xml:space="preserve"> </w:t>
      </w:r>
      <w:r w:rsidRPr="00317DE2">
        <w:rPr>
          <w:rFonts w:cs="Arial"/>
          <w:sz w:val="22"/>
          <w:szCs w:val="22"/>
        </w:rPr>
        <w:t>-</w:t>
      </w:r>
      <w:r w:rsidR="003D20C7">
        <w:rPr>
          <w:rFonts w:cs="Arial"/>
          <w:sz w:val="22"/>
          <w:szCs w:val="22"/>
        </w:rPr>
        <w:t xml:space="preserve"> </w:t>
      </w:r>
      <w:r w:rsidRPr="00317DE2">
        <w:rPr>
          <w:rFonts w:cs="Arial"/>
          <w:sz w:val="22"/>
          <w:szCs w:val="22"/>
        </w:rPr>
        <w:t xml:space="preserve">8 tysięcy dzieci z tym syndromem. </w:t>
      </w:r>
    </w:p>
    <w:p w14:paraId="756D3CDF" w14:textId="2A324265" w:rsidR="001676E4" w:rsidRPr="00317DE2" w:rsidRDefault="001676E4" w:rsidP="001676E4">
      <w:pPr>
        <w:tabs>
          <w:tab w:val="left" w:pos="426"/>
        </w:tabs>
        <w:spacing w:after="0" w:line="360" w:lineRule="auto"/>
        <w:ind w:firstLine="567"/>
        <w:jc w:val="both"/>
        <w:rPr>
          <w:rFonts w:eastAsia="TimesNewRoman,Bold" w:cs="Arial"/>
          <w:sz w:val="22"/>
          <w:szCs w:val="22"/>
          <w:lang w:eastAsia="en-US"/>
        </w:rPr>
      </w:pPr>
      <w:r w:rsidRPr="00317DE2">
        <w:rPr>
          <w:rFonts w:cs="Arial"/>
          <w:sz w:val="22"/>
          <w:szCs w:val="22"/>
        </w:rPr>
        <w:t>Samorząd Województwa Lubelskiego od 2019 roku prowadzi własne regionalne badania w tym zakresie</w:t>
      </w:r>
      <w:r w:rsidRPr="00317DE2">
        <w:rPr>
          <w:rStyle w:val="Odwoanieprzypisudolnego"/>
          <w:rFonts w:eastAsia="TimesNewRoman,Bold" w:cs="Arial"/>
          <w:sz w:val="22"/>
          <w:szCs w:val="22"/>
          <w:lang w:eastAsia="en-US"/>
        </w:rPr>
        <w:footnoteReference w:id="34"/>
      </w:r>
      <w:r w:rsidRPr="00317DE2">
        <w:rPr>
          <w:rFonts w:eastAsia="TimesNewRoman,Bold" w:cs="Arial"/>
          <w:sz w:val="22"/>
          <w:szCs w:val="22"/>
          <w:lang w:eastAsia="en-US"/>
        </w:rPr>
        <w:t>.</w:t>
      </w:r>
      <w:r>
        <w:rPr>
          <w:rFonts w:eastAsia="TimesNewRoman,Bold" w:cs="Arial"/>
          <w:sz w:val="22"/>
          <w:szCs w:val="22"/>
          <w:lang w:eastAsia="en-US"/>
        </w:rPr>
        <w:t xml:space="preserve"> </w:t>
      </w:r>
      <w:r w:rsidRPr="00317DE2">
        <w:rPr>
          <w:rFonts w:eastAsia="TimesNewRoman,Bold" w:cs="Arial"/>
          <w:sz w:val="22"/>
          <w:szCs w:val="22"/>
          <w:lang w:eastAsia="en-US"/>
        </w:rPr>
        <w:t>W roku 2025 r</w:t>
      </w:r>
      <w:r w:rsidR="003D20C7">
        <w:rPr>
          <w:rFonts w:eastAsia="TimesNewRoman,Bold" w:cs="Arial"/>
          <w:sz w:val="22"/>
          <w:szCs w:val="22"/>
          <w:lang w:eastAsia="en-US"/>
        </w:rPr>
        <w:t>oku</w:t>
      </w:r>
      <w:r w:rsidRPr="00317DE2">
        <w:rPr>
          <w:rFonts w:eastAsia="TimesNewRoman,Bold" w:cs="Arial"/>
          <w:sz w:val="22"/>
          <w:szCs w:val="22"/>
          <w:lang w:eastAsia="en-US"/>
        </w:rPr>
        <w:t xml:space="preserve"> w Raporcie z badań: Diagnoza województwa lubelskiego w</w:t>
      </w:r>
      <w:r>
        <w:rPr>
          <w:rFonts w:eastAsia="TimesNewRoman,Bold" w:cs="Arial"/>
          <w:sz w:val="22"/>
          <w:szCs w:val="22"/>
          <w:lang w:eastAsia="en-US"/>
        </w:rPr>
        <w:t> </w:t>
      </w:r>
      <w:r w:rsidRPr="00317DE2">
        <w:rPr>
          <w:rFonts w:eastAsia="TimesNewRoman,Bold" w:cs="Arial"/>
          <w:sz w:val="22"/>
          <w:szCs w:val="22"/>
          <w:lang w:eastAsia="en-US"/>
        </w:rPr>
        <w:t xml:space="preserve">zakresie używania substancji psychoaktywnych wśród osób dorosłych oraz ich dostępności również zainteresowano się tym zagadnieniem, jednak zmieniony został punkt odniesienia. </w:t>
      </w:r>
    </w:p>
    <w:p w14:paraId="7AC52155" w14:textId="72E081A9" w:rsidR="001676E4" w:rsidRPr="00317DE2" w:rsidRDefault="001676E4" w:rsidP="001676E4">
      <w:pPr>
        <w:tabs>
          <w:tab w:val="left" w:pos="426"/>
        </w:tabs>
        <w:spacing w:after="0" w:line="360" w:lineRule="auto"/>
        <w:ind w:firstLine="567"/>
        <w:jc w:val="both"/>
        <w:rPr>
          <w:rFonts w:eastAsia="TimesNewRoman,Bold" w:cs="Arial"/>
          <w:sz w:val="22"/>
          <w:szCs w:val="22"/>
          <w:lang w:eastAsia="en-US"/>
        </w:rPr>
      </w:pPr>
      <w:r w:rsidRPr="008955AD">
        <w:rPr>
          <w:rFonts w:eastAsia="TimesNewRoman,Bold" w:cs="Arial"/>
          <w:sz w:val="22"/>
          <w:szCs w:val="22"/>
          <w:lang w:eastAsia="en-US"/>
        </w:rPr>
        <w:t>W pierwszej edycji badania punktem wyjścia było deklaratywne określenie spożycia alkoholu w czasie ciąży. W badaniu tym spośród badanych kobiet będących w ciąży, 97,5% udzieliło odpowiedzi, że nigdy nie spożywało alkoholu w trakcie ciąży. Wśród 2,5% kobiet, które zadeklarowały spożywanie alkoholu w czasie ciąży, co trzecia czyniła to 2-5 razy w roku. Odpowiedzi„1 raz w miesiącu” oraz „6-11 razy” w roku udzieliło w obu przypadkach po 22,2% kobiet , zaś „1-2 razy w tygodniu” oraz „2-3 razy w miesiącu” zaznaczyło po 11,1% badanych</w:t>
      </w:r>
      <w:r w:rsidRPr="00317DE2">
        <w:rPr>
          <w:rFonts w:eastAsia="TimesNewRoman,Bold" w:cs="Arial"/>
          <w:sz w:val="22"/>
          <w:szCs w:val="22"/>
          <w:lang w:eastAsia="en-US"/>
        </w:rPr>
        <w:t xml:space="preserve"> kobiet. Wyniki te choć brzmią optymistycznie, nie były jednak satysfakcjonujące, kiedy zestawiono je z innymi pytaniami w tym badaniu. Jeśli wiemy, że ponad 70% badanych kobiet było w ciąży, a jednocześnie wiemy że ponad 30% spożywa alkohol regularnie to poprzednia deklaracja dotycząca spożywania w czasie ciąży, nie brzmi już tak prawdopodobnie. Drugim niepokojącym aspektem prowadzonych poprzednio badań było pytanie do wszystkich respondentów, czy widziałeś kobietę w ciąży pijącą alkohol. Tu odpowiedzi nie były już tak optymistyczne, bo ponad połowa respondentów odpowiedziała twierdząco. To skłoniło zespół badawczy do zmiany sposobu myślenia o problemie, dlatego w 2025 r</w:t>
      </w:r>
      <w:r w:rsidR="00981D12">
        <w:rPr>
          <w:rFonts w:eastAsia="TimesNewRoman,Bold" w:cs="Arial"/>
          <w:sz w:val="22"/>
          <w:szCs w:val="22"/>
          <w:lang w:eastAsia="en-US"/>
        </w:rPr>
        <w:t>oku</w:t>
      </w:r>
      <w:r w:rsidRPr="00317DE2">
        <w:rPr>
          <w:rFonts w:eastAsia="TimesNewRoman,Bold" w:cs="Arial"/>
          <w:sz w:val="22"/>
          <w:szCs w:val="22"/>
          <w:lang w:eastAsia="en-US"/>
        </w:rPr>
        <w:t xml:space="preserve"> zespół przesta</w:t>
      </w:r>
      <w:r>
        <w:rPr>
          <w:rFonts w:eastAsia="TimesNewRoman,Bold" w:cs="Arial"/>
          <w:sz w:val="22"/>
          <w:szCs w:val="22"/>
          <w:lang w:eastAsia="en-US"/>
        </w:rPr>
        <w:t>ł</w:t>
      </w:r>
      <w:r w:rsidRPr="00317DE2">
        <w:rPr>
          <w:rFonts w:eastAsia="TimesNewRoman,Bold" w:cs="Arial"/>
          <w:sz w:val="22"/>
          <w:szCs w:val="22"/>
          <w:lang w:eastAsia="en-US"/>
        </w:rPr>
        <w:t xml:space="preserve"> koncentrować się na danych deklaratywnych, które z przyczyn subiektywnych mogą nie oddawać całej prawdy. </w:t>
      </w:r>
    </w:p>
    <w:p w14:paraId="779CB07D" w14:textId="67D121C3" w:rsidR="001676E4" w:rsidRPr="00317DE2" w:rsidRDefault="001676E4" w:rsidP="001676E4">
      <w:pPr>
        <w:tabs>
          <w:tab w:val="left" w:pos="426"/>
        </w:tabs>
        <w:spacing w:after="0" w:line="360" w:lineRule="auto"/>
        <w:ind w:firstLine="567"/>
        <w:jc w:val="both"/>
        <w:rPr>
          <w:rFonts w:eastAsia="TimesNewRoman,Bold" w:cs="Arial"/>
          <w:sz w:val="22"/>
          <w:szCs w:val="22"/>
          <w:lang w:eastAsia="en-US"/>
        </w:rPr>
      </w:pPr>
      <w:r w:rsidRPr="00317DE2">
        <w:rPr>
          <w:rFonts w:eastAsia="TimesNewRoman,Bold" w:cs="Arial"/>
          <w:sz w:val="22"/>
          <w:szCs w:val="22"/>
          <w:lang w:eastAsia="en-US"/>
        </w:rPr>
        <w:t>Dlatego w badaniu z 2025 r</w:t>
      </w:r>
      <w:r w:rsidR="00981D12">
        <w:rPr>
          <w:rFonts w:eastAsia="TimesNewRoman,Bold" w:cs="Arial"/>
          <w:sz w:val="22"/>
          <w:szCs w:val="22"/>
          <w:lang w:eastAsia="en-US"/>
        </w:rPr>
        <w:t>oku</w:t>
      </w:r>
      <w:r w:rsidRPr="00317DE2">
        <w:rPr>
          <w:rFonts w:eastAsia="TimesNewRoman,Bold" w:cs="Arial"/>
          <w:sz w:val="22"/>
          <w:szCs w:val="22"/>
          <w:lang w:eastAsia="en-US"/>
        </w:rPr>
        <w:t xml:space="preserve"> zapytano respondentów o ich opinie nt. spożywania substancji psychoaktywnych przez kobiety w ciąży. Zabieg pozwolił na mniej obciążające, </w:t>
      </w:r>
      <w:r w:rsidRPr="00317DE2">
        <w:rPr>
          <w:rFonts w:eastAsia="TimesNewRoman,Bold" w:cs="Arial"/>
          <w:sz w:val="22"/>
          <w:szCs w:val="22"/>
          <w:lang w:eastAsia="en-US"/>
        </w:rPr>
        <w:lastRenderedPageBreak/>
        <w:t xml:space="preserve">oceniające podejście do tej kwestii, co w założeniu badawczym miało przyczynić się do większej szczerości badanych, a w rezultacie poznać realne zagrożenie. Największa grupa 30% opowiedziała się za stanowczą abstynencją – „kategorycznie nie można używać żadnych substancji psychoaktywnych w ciąży”. To na pewno optymistyczne. </w:t>
      </w:r>
      <w:r w:rsidR="00981D12">
        <w:rPr>
          <w:rFonts w:eastAsia="TimesNewRoman,Bold" w:cs="Arial"/>
          <w:sz w:val="22"/>
          <w:szCs w:val="22"/>
          <w:lang w:eastAsia="en-US"/>
        </w:rPr>
        <w:t xml:space="preserve">Jednak kolejne wyniki badań są przygnębiające: </w:t>
      </w:r>
      <w:r w:rsidRPr="00317DE2">
        <w:rPr>
          <w:rFonts w:eastAsia="TimesNewRoman,Bold" w:cs="Arial"/>
          <w:sz w:val="22"/>
          <w:szCs w:val="22"/>
          <w:lang w:eastAsia="en-US"/>
        </w:rPr>
        <w:t>16% badanych odpowiedziało: można używać wyłącznie alkoholu, niezależnie od mocy i</w:t>
      </w:r>
      <w:r>
        <w:rPr>
          <w:rFonts w:eastAsia="TimesNewRoman,Bold" w:cs="Arial"/>
          <w:sz w:val="22"/>
          <w:szCs w:val="22"/>
          <w:lang w:eastAsia="en-US"/>
        </w:rPr>
        <w:t> </w:t>
      </w:r>
      <w:r w:rsidRPr="00317DE2">
        <w:rPr>
          <w:rFonts w:eastAsia="TimesNewRoman,Bold" w:cs="Arial"/>
          <w:sz w:val="22"/>
          <w:szCs w:val="22"/>
          <w:lang w:eastAsia="en-US"/>
        </w:rPr>
        <w:t>rodzaju. Dokładając do tego 13% odpowiedzi: można używać wyłącznie słabych alkoholi (piwa, wina, słabych drinków); 7% można używać wyłącznie wina; 5% można używać wyłącznie piwa; po 3 % można używać napojów alkoholowych byle by się nie upić oraz można używać napojów alkoholowych ale nie za często; 1 % można używać substancji w pierwszych 2 miesiącach ciąży, a na koniec 8% można używać wyłącznie legalnych substancji  jak np. alkohol lub nikotyna. Taki rozkład odpowiedzi, pokazuje nam obraz, który wskazuje że 56% respondentów dopuszcza w mniejszym lub większym zakresie spożywanie alkoholu w czasie ciąży</w:t>
      </w:r>
      <w:r w:rsidR="00981D12">
        <w:rPr>
          <w:rFonts w:eastAsia="TimesNewRoman,Bold" w:cs="Arial"/>
          <w:sz w:val="22"/>
          <w:szCs w:val="22"/>
          <w:lang w:eastAsia="en-US"/>
        </w:rPr>
        <w:t xml:space="preserve">, co </w:t>
      </w:r>
      <w:r w:rsidRPr="00317DE2">
        <w:rPr>
          <w:rFonts w:eastAsia="TimesNewRoman,Bold" w:cs="Arial"/>
          <w:sz w:val="22"/>
          <w:szCs w:val="22"/>
          <w:lang w:eastAsia="en-US"/>
        </w:rPr>
        <w:t>wskazuje na duży problem ze świadomością zagrożenia jakim jest alkohol. Jeśli cofniemy się do badania z 2019 r</w:t>
      </w:r>
      <w:r w:rsidR="00981D12">
        <w:rPr>
          <w:rFonts w:eastAsia="TimesNewRoman,Bold" w:cs="Arial"/>
          <w:sz w:val="22"/>
          <w:szCs w:val="22"/>
          <w:lang w:eastAsia="en-US"/>
        </w:rPr>
        <w:t>oku</w:t>
      </w:r>
      <w:r w:rsidRPr="00317DE2">
        <w:rPr>
          <w:rFonts w:eastAsia="TimesNewRoman,Bold" w:cs="Arial"/>
          <w:sz w:val="22"/>
          <w:szCs w:val="22"/>
          <w:lang w:eastAsia="en-US"/>
        </w:rPr>
        <w:t xml:space="preserve"> gdzie 2/3 kobiet nie posiadało świadomości dotyczącej konsekwencji spożywania alkoholu w ciąży. Jedynie co trzecia kobieta zadeklarowała znajomość zdrowotnych konsekwencji z tego wynikających, to nadal dużym wyzwaniem jest edukacja prozdrowotna.  </w:t>
      </w:r>
    </w:p>
    <w:p w14:paraId="512B99EE" w14:textId="77777777" w:rsidR="001676E4" w:rsidRPr="00317DE2" w:rsidRDefault="001676E4" w:rsidP="001676E4">
      <w:pPr>
        <w:tabs>
          <w:tab w:val="left" w:pos="426"/>
        </w:tabs>
        <w:spacing w:after="0" w:line="360" w:lineRule="auto"/>
        <w:jc w:val="both"/>
        <w:rPr>
          <w:rFonts w:cs="Arial"/>
          <w:sz w:val="22"/>
          <w:szCs w:val="22"/>
        </w:rPr>
      </w:pPr>
      <w:r w:rsidRPr="00317DE2">
        <w:rPr>
          <w:rFonts w:cs="Arial"/>
          <w:sz w:val="22"/>
          <w:szCs w:val="22"/>
        </w:rPr>
        <w:tab/>
        <w:t>Jak wynika z powyższych badań, konieczne jest prowadzenie działań edukacyjnych skierowanych do przedstawicieli różnych grup społecznych i zawodowych. Przede wszystkim: przedstawicieli środowiska medycznego, psychologicznego, pedagogicznego, pracowników socjalnych, wymiaru sprawiedliwości i służb mundurowych. To od ich wiedzy oraz postawy wobec kobiet, które mogły pić alkohol zależy skuteczność działań profilaktycznych, diagnozy i</w:t>
      </w:r>
      <w:r>
        <w:rPr>
          <w:rFonts w:cs="Arial"/>
          <w:sz w:val="22"/>
          <w:szCs w:val="22"/>
        </w:rPr>
        <w:t> </w:t>
      </w:r>
      <w:r w:rsidRPr="00317DE2">
        <w:rPr>
          <w:rFonts w:cs="Arial"/>
          <w:sz w:val="22"/>
          <w:szCs w:val="22"/>
        </w:rPr>
        <w:t>terapii FASD.  Podobne zalecenia można znaleźć w Rekomendacjach KCPU gdzie wskazuje się na konieczność prowadzenie działań edukacyjno-profilaktycznych w społeczności lokalnej</w:t>
      </w:r>
      <w:r w:rsidRPr="00317DE2">
        <w:rPr>
          <w:rStyle w:val="Odwoanieprzypisudolnego"/>
          <w:rFonts w:cs="Arial"/>
          <w:sz w:val="22"/>
          <w:szCs w:val="22"/>
        </w:rPr>
        <w:footnoteReference w:id="35"/>
      </w:r>
      <w:r w:rsidRPr="00317DE2">
        <w:rPr>
          <w:rFonts w:cs="Arial"/>
          <w:sz w:val="22"/>
          <w:szCs w:val="22"/>
        </w:rPr>
        <w:t xml:space="preserve">. </w:t>
      </w:r>
    </w:p>
    <w:p w14:paraId="723FD5C6" w14:textId="38D4E5DD" w:rsidR="006E6551" w:rsidRDefault="001676E4" w:rsidP="001676E4">
      <w:pPr>
        <w:tabs>
          <w:tab w:val="left" w:pos="426"/>
        </w:tabs>
        <w:spacing w:after="0" w:line="360" w:lineRule="auto"/>
        <w:jc w:val="both"/>
        <w:rPr>
          <w:rFonts w:eastAsiaTheme="minorHAnsi" w:cs="Arial"/>
          <w:sz w:val="22"/>
          <w:szCs w:val="22"/>
          <w:lang w:eastAsia="en-US"/>
        </w:rPr>
      </w:pPr>
      <w:r w:rsidRPr="00317DE2">
        <w:rPr>
          <w:rFonts w:cs="Arial"/>
          <w:sz w:val="22"/>
          <w:szCs w:val="22"/>
        </w:rPr>
        <w:t>Działania edukacyjne w tym zakresie prowadzi Regionalny Punkt Diagnozy i Terapii FAS/FASD</w:t>
      </w:r>
      <w:r w:rsidR="00981D12">
        <w:rPr>
          <w:rFonts w:cs="Arial"/>
          <w:sz w:val="22"/>
          <w:szCs w:val="22"/>
        </w:rPr>
        <w:t xml:space="preserve"> w Lublinie</w:t>
      </w:r>
      <w:r w:rsidRPr="00317DE2">
        <w:rPr>
          <w:rFonts w:cs="Arial"/>
          <w:sz w:val="22"/>
          <w:szCs w:val="22"/>
        </w:rPr>
        <w:t xml:space="preserve">, który został uruchomiony </w:t>
      </w:r>
      <w:r w:rsidRPr="00317DE2">
        <w:rPr>
          <w:rFonts w:eastAsiaTheme="minorHAnsi" w:cs="Arial"/>
          <w:sz w:val="22"/>
          <w:szCs w:val="22"/>
          <w:lang w:eastAsia="en-US"/>
        </w:rPr>
        <w:t>30 marca 2021 r</w:t>
      </w:r>
      <w:r w:rsidR="00981D12">
        <w:rPr>
          <w:rFonts w:eastAsiaTheme="minorHAnsi" w:cs="Arial"/>
          <w:sz w:val="22"/>
          <w:szCs w:val="22"/>
          <w:lang w:eastAsia="en-US"/>
        </w:rPr>
        <w:t>oku</w:t>
      </w:r>
      <w:r w:rsidRPr="00317DE2">
        <w:rPr>
          <w:rFonts w:eastAsiaTheme="minorHAnsi" w:cs="Arial"/>
          <w:sz w:val="22"/>
          <w:szCs w:val="22"/>
          <w:lang w:eastAsia="en-US"/>
        </w:rPr>
        <w:t xml:space="preserve"> należy zintensyfikować tą część działań </w:t>
      </w:r>
      <w:proofErr w:type="spellStart"/>
      <w:r w:rsidRPr="00317DE2">
        <w:rPr>
          <w:rFonts w:eastAsiaTheme="minorHAnsi" w:cs="Arial"/>
          <w:sz w:val="22"/>
          <w:szCs w:val="22"/>
          <w:lang w:eastAsia="en-US"/>
        </w:rPr>
        <w:t>RPDiT</w:t>
      </w:r>
      <w:proofErr w:type="spellEnd"/>
      <w:r w:rsidRPr="00317DE2">
        <w:rPr>
          <w:rFonts w:eastAsiaTheme="minorHAnsi" w:cs="Arial"/>
          <w:sz w:val="22"/>
          <w:szCs w:val="22"/>
          <w:lang w:eastAsia="en-US"/>
        </w:rPr>
        <w:t xml:space="preserve"> FAS/FASD.</w:t>
      </w:r>
      <w:r w:rsidR="00981D12">
        <w:rPr>
          <w:rFonts w:eastAsiaTheme="minorHAnsi" w:cs="Arial"/>
          <w:sz w:val="22"/>
          <w:szCs w:val="22"/>
          <w:lang w:eastAsia="en-US"/>
        </w:rPr>
        <w:t xml:space="preserve"> </w:t>
      </w:r>
      <w:r w:rsidR="006E6551">
        <w:rPr>
          <w:rFonts w:eastAsiaTheme="minorHAnsi" w:cs="Arial"/>
          <w:sz w:val="22"/>
          <w:szCs w:val="22"/>
          <w:lang w:eastAsia="en-US"/>
        </w:rPr>
        <w:t xml:space="preserve">W ramach działań </w:t>
      </w:r>
      <w:proofErr w:type="spellStart"/>
      <w:r w:rsidR="006E6551">
        <w:rPr>
          <w:rFonts w:eastAsiaTheme="minorHAnsi" w:cs="Arial"/>
          <w:sz w:val="22"/>
          <w:szCs w:val="22"/>
          <w:lang w:eastAsia="en-US"/>
        </w:rPr>
        <w:t>edukacyjno</w:t>
      </w:r>
      <w:proofErr w:type="spellEnd"/>
      <w:r w:rsidR="00981D12">
        <w:rPr>
          <w:rFonts w:eastAsiaTheme="minorHAnsi" w:cs="Arial"/>
          <w:sz w:val="22"/>
          <w:szCs w:val="22"/>
          <w:lang w:eastAsia="en-US"/>
        </w:rPr>
        <w:t xml:space="preserve"> - </w:t>
      </w:r>
      <w:r w:rsidR="006E6551">
        <w:rPr>
          <w:rFonts w:eastAsiaTheme="minorHAnsi" w:cs="Arial"/>
          <w:sz w:val="22"/>
          <w:szCs w:val="22"/>
          <w:lang w:eastAsia="en-US"/>
        </w:rPr>
        <w:t>informacyjnych w </w:t>
      </w:r>
      <w:r w:rsidR="006E6551" w:rsidRPr="00317DE2">
        <w:rPr>
          <w:rFonts w:eastAsiaTheme="minorHAnsi" w:cs="Arial"/>
          <w:sz w:val="22"/>
          <w:szCs w:val="22"/>
          <w:lang w:eastAsia="en-US"/>
        </w:rPr>
        <w:t xml:space="preserve">latach 2021 – 2024 przeprowadzono 54 spotkania w powiatach. </w:t>
      </w:r>
      <w:r w:rsidR="00981D12">
        <w:rPr>
          <w:rFonts w:eastAsiaTheme="minorHAnsi" w:cs="Arial"/>
          <w:sz w:val="22"/>
          <w:szCs w:val="22"/>
          <w:lang w:eastAsia="en-US"/>
        </w:rPr>
        <w:t>Odbiorcami byli</w:t>
      </w:r>
      <w:r w:rsidR="006E6551" w:rsidRPr="00317DE2">
        <w:rPr>
          <w:rFonts w:eastAsiaTheme="minorHAnsi" w:cs="Arial"/>
          <w:sz w:val="22"/>
          <w:szCs w:val="22"/>
          <w:lang w:eastAsia="en-US"/>
        </w:rPr>
        <w:t xml:space="preserve"> przede wszystkim pracownicy rodzinnej pieczy zastępczej, rodziny zastępcze, nauczyciele, pedagodzy, psycholodzy szkolni i uczniowie. W tym samym okresie w </w:t>
      </w:r>
      <w:proofErr w:type="spellStart"/>
      <w:r w:rsidR="006E6551" w:rsidRPr="00317DE2">
        <w:rPr>
          <w:rFonts w:eastAsiaTheme="minorHAnsi" w:cs="Arial"/>
          <w:sz w:val="22"/>
          <w:szCs w:val="22"/>
          <w:lang w:eastAsia="en-US"/>
        </w:rPr>
        <w:t>RPDiT</w:t>
      </w:r>
      <w:proofErr w:type="spellEnd"/>
      <w:r w:rsidR="006E6551" w:rsidRPr="00317DE2">
        <w:rPr>
          <w:rFonts w:eastAsiaTheme="minorHAnsi" w:cs="Arial"/>
          <w:sz w:val="22"/>
          <w:szCs w:val="22"/>
          <w:lang w:eastAsia="en-US"/>
        </w:rPr>
        <w:t xml:space="preserve"> FAS/FASD w Lublinie odbyło się 13 wizyt studyjnych dla przedstawicieli samorządów wszystkich szczebli z 5 województw, pracowników Krajowego Centrum Przeciwdziałania Uzależnieniom, pomocy społecznej, podmiotów ekonomii społecznej, Ekspertów Wojewódzkich ds. Informacji o</w:t>
      </w:r>
      <w:r w:rsidR="006E6551">
        <w:rPr>
          <w:rFonts w:eastAsiaTheme="minorHAnsi" w:cs="Arial"/>
          <w:sz w:val="22"/>
          <w:szCs w:val="22"/>
          <w:lang w:eastAsia="en-US"/>
        </w:rPr>
        <w:t> </w:t>
      </w:r>
      <w:r w:rsidR="006E6551" w:rsidRPr="00317DE2">
        <w:rPr>
          <w:rFonts w:eastAsiaTheme="minorHAnsi" w:cs="Arial"/>
          <w:sz w:val="22"/>
          <w:szCs w:val="22"/>
          <w:lang w:eastAsia="en-US"/>
        </w:rPr>
        <w:t xml:space="preserve">Narkotykach i Narkomanii oraz Pełnomocników ds. Rozwiązywania Problemów Alkoholowych, studentów lubelskich uczelni </w:t>
      </w:r>
      <w:r w:rsidR="006E6551" w:rsidRPr="00317DE2">
        <w:rPr>
          <w:rFonts w:eastAsiaTheme="minorHAnsi" w:cs="Arial"/>
          <w:sz w:val="22"/>
          <w:szCs w:val="22"/>
          <w:lang w:eastAsia="en-US"/>
        </w:rPr>
        <w:lastRenderedPageBreak/>
        <w:t>różnych specjalności. W tej liczbie jest też jedna wizyta międzynarodowa dla przedstawicieli służb ochrony dziecka i organizacji pozarządowych z Ukrainy</w:t>
      </w:r>
      <w:r w:rsidR="006E6551">
        <w:rPr>
          <w:rFonts w:eastAsiaTheme="minorHAnsi" w:cs="Arial"/>
          <w:sz w:val="22"/>
          <w:szCs w:val="22"/>
          <w:lang w:eastAsia="en-US"/>
        </w:rPr>
        <w:t>.</w:t>
      </w:r>
    </w:p>
    <w:p w14:paraId="047071AE" w14:textId="2B976411" w:rsidR="002716FC" w:rsidRPr="00317DE2" w:rsidRDefault="002716FC" w:rsidP="002716FC">
      <w:pPr>
        <w:spacing w:after="0" w:line="360" w:lineRule="auto"/>
        <w:ind w:firstLine="426"/>
        <w:jc w:val="both"/>
        <w:rPr>
          <w:rFonts w:eastAsiaTheme="minorHAnsi" w:cs="Arial"/>
          <w:sz w:val="22"/>
          <w:szCs w:val="22"/>
          <w:lang w:eastAsia="en-US"/>
        </w:rPr>
      </w:pPr>
      <w:r w:rsidRPr="00317DE2">
        <w:rPr>
          <w:rFonts w:eastAsiaTheme="minorHAnsi" w:cs="Arial"/>
          <w:sz w:val="22"/>
          <w:szCs w:val="22"/>
          <w:lang w:eastAsia="en-US"/>
        </w:rPr>
        <w:t>Ponadto</w:t>
      </w:r>
      <w:r w:rsidR="00981D12">
        <w:rPr>
          <w:rFonts w:eastAsiaTheme="minorHAnsi" w:cs="Arial"/>
          <w:sz w:val="22"/>
          <w:szCs w:val="22"/>
          <w:lang w:eastAsia="en-US"/>
        </w:rPr>
        <w:t>,</w:t>
      </w:r>
      <w:r w:rsidRPr="00317DE2">
        <w:rPr>
          <w:rFonts w:eastAsiaTheme="minorHAnsi" w:cs="Arial"/>
          <w:sz w:val="22"/>
          <w:szCs w:val="22"/>
          <w:lang w:eastAsia="en-US"/>
        </w:rPr>
        <w:t xml:space="preserve"> w </w:t>
      </w:r>
      <w:r w:rsidR="00981D12">
        <w:rPr>
          <w:rFonts w:eastAsiaTheme="minorHAnsi" w:cs="Arial"/>
          <w:sz w:val="22"/>
          <w:szCs w:val="22"/>
          <w:lang w:eastAsia="en-US"/>
        </w:rPr>
        <w:t>latach</w:t>
      </w:r>
      <w:r w:rsidRPr="00317DE2">
        <w:rPr>
          <w:rFonts w:eastAsiaTheme="minorHAnsi" w:cs="Arial"/>
          <w:sz w:val="22"/>
          <w:szCs w:val="22"/>
          <w:lang w:eastAsia="en-US"/>
        </w:rPr>
        <w:t xml:space="preserve"> 2021 – 2024 zorganizowano 7 szkoleń</w:t>
      </w:r>
      <w:r>
        <w:rPr>
          <w:rFonts w:eastAsiaTheme="minorHAnsi" w:cs="Arial"/>
          <w:sz w:val="22"/>
          <w:szCs w:val="22"/>
          <w:lang w:eastAsia="en-US"/>
        </w:rPr>
        <w:t xml:space="preserve"> </w:t>
      </w:r>
      <w:r w:rsidRPr="00317DE2">
        <w:rPr>
          <w:rFonts w:eastAsiaTheme="minorHAnsi" w:cs="Arial"/>
          <w:sz w:val="22"/>
          <w:szCs w:val="22"/>
          <w:lang w:eastAsia="en-US"/>
        </w:rPr>
        <w:t>dla 237</w:t>
      </w:r>
      <w:r>
        <w:rPr>
          <w:rFonts w:eastAsiaTheme="minorHAnsi" w:cs="Arial"/>
          <w:sz w:val="22"/>
          <w:szCs w:val="22"/>
          <w:lang w:eastAsia="en-US"/>
        </w:rPr>
        <w:t xml:space="preserve"> </w:t>
      </w:r>
      <w:r w:rsidRPr="00317DE2">
        <w:rPr>
          <w:rFonts w:eastAsiaTheme="minorHAnsi" w:cs="Arial"/>
          <w:sz w:val="22"/>
          <w:szCs w:val="22"/>
          <w:lang w:eastAsia="en-US"/>
        </w:rPr>
        <w:t xml:space="preserve">osób, specjalistów pracujących z rodzinami zagrożonymi problemem alkoholowym, rodziców i opiekunów. Kontynuowano spotkania grupy wsparcia i grupy </w:t>
      </w:r>
      <w:proofErr w:type="spellStart"/>
      <w:r w:rsidRPr="00317DE2">
        <w:rPr>
          <w:rFonts w:eastAsiaTheme="minorHAnsi" w:cs="Arial"/>
          <w:sz w:val="22"/>
          <w:szCs w:val="22"/>
          <w:lang w:eastAsia="en-US"/>
        </w:rPr>
        <w:t>psychoedukacyjnej</w:t>
      </w:r>
      <w:proofErr w:type="spellEnd"/>
      <w:r w:rsidRPr="00317DE2">
        <w:rPr>
          <w:rFonts w:eastAsiaTheme="minorHAnsi" w:cs="Arial"/>
          <w:sz w:val="22"/>
          <w:szCs w:val="22"/>
          <w:lang w:eastAsia="en-US"/>
        </w:rPr>
        <w:t>, a także prowadzono konsultacje indywidualne dla rodziców i opiekunów dzieci z FAS/FASD.</w:t>
      </w:r>
      <w:r>
        <w:rPr>
          <w:rFonts w:eastAsiaTheme="minorHAnsi" w:cs="Arial"/>
          <w:sz w:val="22"/>
          <w:szCs w:val="22"/>
          <w:lang w:eastAsia="en-US"/>
        </w:rPr>
        <w:t xml:space="preserve"> </w:t>
      </w:r>
      <w:r w:rsidRPr="00317DE2">
        <w:rPr>
          <w:rFonts w:eastAsiaTheme="minorHAnsi" w:cs="Arial"/>
          <w:sz w:val="22"/>
          <w:szCs w:val="22"/>
          <w:lang w:eastAsia="en-US"/>
        </w:rPr>
        <w:t xml:space="preserve">Udostępniono materiały edukacyjne w ramach cyklu: Kompendium wiedzy o FAS oraz Analizy i raporty. Przygotowano i przekazano materiały informacyjne w postaci ulotek, broszur, plakatów, ogółem: 11 709 szt. do 41 podmiotów/organizatorów wydarzeń </w:t>
      </w:r>
      <w:proofErr w:type="spellStart"/>
      <w:r w:rsidRPr="00317DE2">
        <w:rPr>
          <w:rFonts w:eastAsiaTheme="minorHAnsi" w:cs="Arial"/>
          <w:sz w:val="22"/>
          <w:szCs w:val="22"/>
          <w:lang w:eastAsia="en-US"/>
        </w:rPr>
        <w:t>społeczno</w:t>
      </w:r>
      <w:proofErr w:type="spellEnd"/>
      <w:r w:rsidR="00981D12">
        <w:rPr>
          <w:rFonts w:eastAsiaTheme="minorHAnsi" w:cs="Arial"/>
          <w:sz w:val="22"/>
          <w:szCs w:val="22"/>
          <w:lang w:eastAsia="en-US"/>
        </w:rPr>
        <w:t xml:space="preserve"> </w:t>
      </w:r>
      <w:r w:rsidRPr="00317DE2">
        <w:rPr>
          <w:rFonts w:eastAsiaTheme="minorHAnsi" w:cs="Arial"/>
          <w:sz w:val="22"/>
          <w:szCs w:val="22"/>
          <w:lang w:eastAsia="en-US"/>
        </w:rPr>
        <w:t>-</w:t>
      </w:r>
      <w:r w:rsidR="00981D12">
        <w:rPr>
          <w:rFonts w:eastAsiaTheme="minorHAnsi" w:cs="Arial"/>
          <w:sz w:val="22"/>
          <w:szCs w:val="22"/>
          <w:lang w:eastAsia="en-US"/>
        </w:rPr>
        <w:t xml:space="preserve"> </w:t>
      </w:r>
      <w:r w:rsidRPr="00317DE2">
        <w:rPr>
          <w:rFonts w:eastAsiaTheme="minorHAnsi" w:cs="Arial"/>
          <w:sz w:val="22"/>
          <w:szCs w:val="22"/>
          <w:lang w:eastAsia="en-US"/>
        </w:rPr>
        <w:t>kulturalnych.</w:t>
      </w:r>
      <w:r>
        <w:rPr>
          <w:rFonts w:eastAsiaTheme="minorHAnsi" w:cs="Arial"/>
          <w:sz w:val="22"/>
          <w:szCs w:val="22"/>
          <w:lang w:eastAsia="en-US"/>
        </w:rPr>
        <w:t xml:space="preserve"> </w:t>
      </w:r>
      <w:r w:rsidRPr="00317DE2">
        <w:rPr>
          <w:rFonts w:eastAsiaTheme="minorHAnsi" w:cs="Arial"/>
          <w:sz w:val="22"/>
          <w:szCs w:val="22"/>
          <w:lang w:eastAsia="en-US"/>
        </w:rPr>
        <w:t>W ramach wsparcia dla specjalistów, rodziców i opiekunów wznowiono lub zakupiono literaturę i czasopisma branżowe.</w:t>
      </w:r>
    </w:p>
    <w:p w14:paraId="10BD164E" w14:textId="69E6AE66" w:rsidR="001676E4" w:rsidRPr="00317DE2" w:rsidRDefault="002716FC" w:rsidP="001676E4">
      <w:pPr>
        <w:tabs>
          <w:tab w:val="left" w:pos="426"/>
        </w:tabs>
        <w:spacing w:after="0" w:line="360" w:lineRule="auto"/>
        <w:jc w:val="both"/>
        <w:rPr>
          <w:rFonts w:eastAsiaTheme="minorHAnsi" w:cs="Arial"/>
          <w:sz w:val="22"/>
          <w:szCs w:val="22"/>
          <w:lang w:eastAsia="en-US"/>
        </w:rPr>
      </w:pPr>
      <w:r>
        <w:rPr>
          <w:rFonts w:eastAsiaTheme="minorHAnsi" w:cs="Arial"/>
          <w:sz w:val="22"/>
          <w:szCs w:val="22"/>
          <w:lang w:eastAsia="en-US"/>
        </w:rPr>
        <w:tab/>
      </w:r>
      <w:r w:rsidR="006E6551">
        <w:rPr>
          <w:rFonts w:eastAsiaTheme="minorHAnsi" w:cs="Arial"/>
          <w:sz w:val="22"/>
          <w:szCs w:val="22"/>
          <w:lang w:eastAsia="en-US"/>
        </w:rPr>
        <w:t>Jednak g</w:t>
      </w:r>
      <w:r w:rsidR="001676E4" w:rsidRPr="00317DE2">
        <w:rPr>
          <w:rFonts w:eastAsiaTheme="minorHAnsi" w:cs="Arial"/>
          <w:sz w:val="22"/>
          <w:szCs w:val="22"/>
          <w:lang w:eastAsia="en-US"/>
        </w:rPr>
        <w:t xml:space="preserve">łówny punkt ciężkości działalności koncentruje się na diagnozie i terapii. Z pomocy </w:t>
      </w:r>
      <w:proofErr w:type="spellStart"/>
      <w:r w:rsidR="001676E4" w:rsidRPr="00317DE2">
        <w:rPr>
          <w:rFonts w:eastAsiaTheme="minorHAnsi" w:cs="Arial"/>
          <w:sz w:val="22"/>
          <w:szCs w:val="22"/>
          <w:lang w:eastAsia="en-US"/>
        </w:rPr>
        <w:t>RPDiT</w:t>
      </w:r>
      <w:proofErr w:type="spellEnd"/>
      <w:r w:rsidR="001676E4" w:rsidRPr="00317DE2">
        <w:rPr>
          <w:rFonts w:eastAsiaTheme="minorHAnsi" w:cs="Arial"/>
          <w:sz w:val="22"/>
          <w:szCs w:val="22"/>
          <w:lang w:eastAsia="en-US"/>
        </w:rPr>
        <w:t xml:space="preserve"> FAS/FASD w Lublinie mogą korzystać mieszkańcy województwa lubelskiego do ukończenia 18 </w:t>
      </w:r>
      <w:r w:rsidR="00981D12">
        <w:rPr>
          <w:rFonts w:eastAsiaTheme="minorHAnsi" w:cs="Arial"/>
          <w:sz w:val="22"/>
          <w:szCs w:val="22"/>
          <w:lang w:eastAsia="en-US"/>
        </w:rPr>
        <w:t>oku życia</w:t>
      </w:r>
      <w:r w:rsidR="001676E4" w:rsidRPr="00317DE2">
        <w:rPr>
          <w:rFonts w:eastAsiaTheme="minorHAnsi" w:cs="Arial"/>
          <w:sz w:val="22"/>
          <w:szCs w:val="22"/>
          <w:lang w:eastAsia="en-US"/>
        </w:rPr>
        <w:t>. Przeważająca większość dzieci poddana diagnozie pochodziła z rodzin zastępczych lub placówek opiekuńczo-wychowawczych</w:t>
      </w:r>
      <w:r w:rsidR="001676E4">
        <w:rPr>
          <w:rFonts w:eastAsiaTheme="minorHAnsi" w:cs="Arial"/>
          <w:sz w:val="22"/>
          <w:szCs w:val="22"/>
          <w:lang w:eastAsia="en-US"/>
        </w:rPr>
        <w:t xml:space="preserve"> z </w:t>
      </w:r>
      <w:r w:rsidR="001676E4" w:rsidRPr="00317DE2">
        <w:rPr>
          <w:rFonts w:eastAsiaTheme="minorHAnsi" w:cs="Arial"/>
          <w:sz w:val="22"/>
          <w:szCs w:val="22"/>
          <w:lang w:eastAsia="en-US"/>
        </w:rPr>
        <w:t xml:space="preserve">pieczy instytucjonalnej. Liczba zgłoszeń i diagnoz zrealizowanych w </w:t>
      </w:r>
      <w:proofErr w:type="spellStart"/>
      <w:r w:rsidR="001676E4" w:rsidRPr="00317DE2">
        <w:rPr>
          <w:rFonts w:eastAsiaTheme="minorHAnsi" w:cs="Arial"/>
          <w:sz w:val="22"/>
          <w:szCs w:val="22"/>
          <w:lang w:eastAsia="en-US"/>
        </w:rPr>
        <w:t>RPDiT</w:t>
      </w:r>
      <w:proofErr w:type="spellEnd"/>
      <w:r w:rsidR="001676E4" w:rsidRPr="00317DE2">
        <w:rPr>
          <w:rFonts w:eastAsiaTheme="minorHAnsi" w:cs="Arial"/>
          <w:sz w:val="22"/>
          <w:szCs w:val="22"/>
          <w:lang w:eastAsia="en-US"/>
        </w:rPr>
        <w:t xml:space="preserve"> FAS/FASD w Lublinie w poszczególnych latach:</w:t>
      </w:r>
    </w:p>
    <w:p w14:paraId="410D75D1" w14:textId="77777777" w:rsidR="001676E4" w:rsidRPr="00FE5C64" w:rsidRDefault="001676E4" w:rsidP="001676E4">
      <w:pPr>
        <w:pStyle w:val="Akapitzlist"/>
        <w:numPr>
          <w:ilvl w:val="0"/>
          <w:numId w:val="48"/>
        </w:numPr>
        <w:tabs>
          <w:tab w:val="left" w:pos="426"/>
        </w:tabs>
        <w:spacing w:after="0" w:line="360" w:lineRule="auto"/>
        <w:jc w:val="both"/>
        <w:rPr>
          <w:rFonts w:eastAsiaTheme="minorHAnsi" w:cs="Arial"/>
          <w:sz w:val="22"/>
          <w:szCs w:val="22"/>
          <w:lang w:eastAsia="en-US"/>
        </w:rPr>
      </w:pPr>
      <w:r w:rsidRPr="00FE5C64">
        <w:rPr>
          <w:rFonts w:eastAsiaTheme="minorHAnsi" w:cs="Arial"/>
          <w:sz w:val="22"/>
          <w:szCs w:val="22"/>
          <w:lang w:eastAsia="en-US"/>
        </w:rPr>
        <w:t>2021 rok – 59 zgłoszeń, 25 diagnoz, z tego diagnoza w kierunku FAS/FASD: 10.</w:t>
      </w:r>
    </w:p>
    <w:p w14:paraId="3C6DB7B4" w14:textId="77777777" w:rsidR="001676E4" w:rsidRPr="00FE5C64" w:rsidRDefault="001676E4" w:rsidP="001676E4">
      <w:pPr>
        <w:pStyle w:val="Akapitzlist"/>
        <w:numPr>
          <w:ilvl w:val="0"/>
          <w:numId w:val="48"/>
        </w:numPr>
        <w:tabs>
          <w:tab w:val="left" w:pos="426"/>
        </w:tabs>
        <w:spacing w:after="0" w:line="360" w:lineRule="auto"/>
        <w:jc w:val="both"/>
        <w:rPr>
          <w:rFonts w:eastAsiaTheme="minorHAnsi" w:cs="Arial"/>
          <w:sz w:val="22"/>
          <w:szCs w:val="22"/>
          <w:lang w:eastAsia="en-US"/>
        </w:rPr>
      </w:pPr>
      <w:r w:rsidRPr="00FE5C64">
        <w:rPr>
          <w:rFonts w:eastAsiaTheme="minorHAnsi" w:cs="Arial"/>
          <w:sz w:val="22"/>
          <w:szCs w:val="22"/>
          <w:lang w:eastAsia="en-US"/>
        </w:rPr>
        <w:t>2022 rok – 108 zgłoszeń, 97 diagnoz, z tego diagnoza w kierunku FAS/FASD: 43.</w:t>
      </w:r>
    </w:p>
    <w:p w14:paraId="582D59FE" w14:textId="77777777" w:rsidR="001676E4" w:rsidRPr="00FE5C64" w:rsidRDefault="001676E4" w:rsidP="001676E4">
      <w:pPr>
        <w:pStyle w:val="Akapitzlist"/>
        <w:numPr>
          <w:ilvl w:val="0"/>
          <w:numId w:val="48"/>
        </w:numPr>
        <w:tabs>
          <w:tab w:val="left" w:pos="426"/>
        </w:tabs>
        <w:spacing w:after="0" w:line="360" w:lineRule="auto"/>
        <w:jc w:val="both"/>
        <w:rPr>
          <w:rFonts w:eastAsiaTheme="minorHAnsi" w:cs="Arial"/>
          <w:sz w:val="22"/>
          <w:szCs w:val="22"/>
          <w:lang w:eastAsia="en-US"/>
        </w:rPr>
      </w:pPr>
      <w:r w:rsidRPr="00FE5C64">
        <w:rPr>
          <w:rFonts w:eastAsiaTheme="minorHAnsi" w:cs="Arial"/>
          <w:sz w:val="22"/>
          <w:szCs w:val="22"/>
          <w:lang w:eastAsia="en-US"/>
        </w:rPr>
        <w:t>2023 rok – 93 zgłoszenia, 78 diagnoz, z tego diagnoza w kierunku FAS/FASD: 37.</w:t>
      </w:r>
    </w:p>
    <w:p w14:paraId="5EE24ACD" w14:textId="77777777" w:rsidR="001676E4" w:rsidRPr="00FE5C64" w:rsidRDefault="001676E4" w:rsidP="001676E4">
      <w:pPr>
        <w:pStyle w:val="Akapitzlist"/>
        <w:numPr>
          <w:ilvl w:val="0"/>
          <w:numId w:val="48"/>
        </w:numPr>
        <w:tabs>
          <w:tab w:val="left" w:pos="426"/>
        </w:tabs>
        <w:spacing w:after="0" w:line="360" w:lineRule="auto"/>
        <w:jc w:val="both"/>
        <w:rPr>
          <w:rFonts w:eastAsiaTheme="minorHAnsi" w:cs="Arial"/>
          <w:sz w:val="22"/>
          <w:szCs w:val="22"/>
          <w:lang w:eastAsia="en-US"/>
        </w:rPr>
      </w:pPr>
      <w:r w:rsidRPr="00FE5C64">
        <w:rPr>
          <w:rFonts w:eastAsiaTheme="minorHAnsi" w:cs="Arial"/>
          <w:sz w:val="22"/>
          <w:szCs w:val="22"/>
          <w:lang w:eastAsia="en-US"/>
        </w:rPr>
        <w:t>2024 rok – 113 zgłoszeń, 84 diagnozy, z tego diagnoza w kierunku FAS/FASD: 79.</w:t>
      </w:r>
    </w:p>
    <w:p w14:paraId="389C0A96" w14:textId="64E01DD3" w:rsidR="001676E4" w:rsidRPr="00317DE2" w:rsidRDefault="001676E4" w:rsidP="001676E4">
      <w:pPr>
        <w:spacing w:after="0" w:line="360" w:lineRule="auto"/>
        <w:ind w:firstLine="426"/>
        <w:jc w:val="both"/>
        <w:rPr>
          <w:rFonts w:eastAsiaTheme="minorHAnsi" w:cs="Arial"/>
          <w:sz w:val="22"/>
          <w:szCs w:val="22"/>
          <w:lang w:eastAsia="en-US"/>
        </w:rPr>
      </w:pPr>
      <w:r w:rsidRPr="00317DE2">
        <w:rPr>
          <w:rFonts w:eastAsiaTheme="minorHAnsi" w:cs="Arial"/>
          <w:sz w:val="22"/>
          <w:szCs w:val="22"/>
          <w:lang w:eastAsia="en-US"/>
        </w:rPr>
        <w:t>Lubelski ośrodek diagnostyczny staje się coraz lepiej rozpoznawalny w kraju</w:t>
      </w:r>
      <w:r w:rsidR="002716FC">
        <w:rPr>
          <w:rFonts w:eastAsiaTheme="minorHAnsi" w:cs="Arial"/>
          <w:sz w:val="22"/>
          <w:szCs w:val="22"/>
          <w:lang w:eastAsia="en-US"/>
        </w:rPr>
        <w:t>,</w:t>
      </w:r>
      <w:r w:rsidRPr="00317DE2">
        <w:rPr>
          <w:rFonts w:eastAsiaTheme="minorHAnsi" w:cs="Arial"/>
          <w:sz w:val="22"/>
          <w:szCs w:val="22"/>
          <w:lang w:eastAsia="en-US"/>
        </w:rPr>
        <w:t xml:space="preserve"> </w:t>
      </w:r>
      <w:r w:rsidR="002716FC">
        <w:rPr>
          <w:rFonts w:eastAsiaTheme="minorHAnsi" w:cs="Arial"/>
          <w:sz w:val="22"/>
          <w:szCs w:val="22"/>
          <w:lang w:eastAsia="en-US"/>
        </w:rPr>
        <w:t>s</w:t>
      </w:r>
      <w:r w:rsidRPr="00317DE2">
        <w:rPr>
          <w:rFonts w:eastAsiaTheme="minorHAnsi" w:cs="Arial"/>
          <w:sz w:val="22"/>
          <w:szCs w:val="22"/>
          <w:lang w:eastAsia="en-US"/>
        </w:rPr>
        <w:t>taj</w:t>
      </w:r>
      <w:r w:rsidR="00802AFA">
        <w:rPr>
          <w:rFonts w:eastAsiaTheme="minorHAnsi" w:cs="Arial"/>
          <w:sz w:val="22"/>
          <w:szCs w:val="22"/>
          <w:lang w:eastAsia="en-US"/>
        </w:rPr>
        <w:t>ąc</w:t>
      </w:r>
      <w:r w:rsidRPr="00317DE2">
        <w:rPr>
          <w:rFonts w:eastAsiaTheme="minorHAnsi" w:cs="Arial"/>
          <w:sz w:val="22"/>
          <w:szCs w:val="22"/>
          <w:lang w:eastAsia="en-US"/>
        </w:rPr>
        <w:t xml:space="preserve"> się jednym z wiodących ośrodków w </w:t>
      </w:r>
      <w:r w:rsidR="00981D12">
        <w:rPr>
          <w:rFonts w:eastAsiaTheme="minorHAnsi" w:cs="Arial"/>
          <w:sz w:val="22"/>
          <w:szCs w:val="22"/>
          <w:lang w:eastAsia="en-US"/>
        </w:rPr>
        <w:t>Polsce</w:t>
      </w:r>
      <w:r w:rsidRPr="00317DE2">
        <w:rPr>
          <w:rFonts w:eastAsiaTheme="minorHAnsi" w:cs="Arial"/>
          <w:sz w:val="22"/>
          <w:szCs w:val="22"/>
          <w:lang w:eastAsia="en-US"/>
        </w:rPr>
        <w:t xml:space="preserve">. Należy też zaznaczyć, </w:t>
      </w:r>
      <w:r w:rsidR="002716FC">
        <w:rPr>
          <w:rFonts w:eastAsiaTheme="minorHAnsi" w:cs="Arial"/>
          <w:sz w:val="22"/>
          <w:szCs w:val="22"/>
          <w:lang w:eastAsia="en-US"/>
        </w:rPr>
        <w:t>ż</w:t>
      </w:r>
      <w:r w:rsidRPr="00317DE2">
        <w:rPr>
          <w:rFonts w:eastAsiaTheme="minorHAnsi" w:cs="Arial"/>
          <w:sz w:val="22"/>
          <w:szCs w:val="22"/>
          <w:lang w:eastAsia="en-US"/>
        </w:rPr>
        <w:t>e zgodnie z rekomendacją KCPU</w:t>
      </w:r>
      <w:r>
        <w:rPr>
          <w:rFonts w:eastAsiaTheme="minorHAnsi" w:cs="Arial"/>
          <w:sz w:val="22"/>
          <w:szCs w:val="22"/>
          <w:lang w:eastAsia="en-US"/>
        </w:rPr>
        <w:t>,</w:t>
      </w:r>
      <w:r w:rsidRPr="00317DE2">
        <w:rPr>
          <w:rFonts w:eastAsiaTheme="minorHAnsi" w:cs="Arial"/>
          <w:sz w:val="22"/>
          <w:szCs w:val="22"/>
          <w:lang w:eastAsia="en-US"/>
        </w:rPr>
        <w:t xml:space="preserve"> </w:t>
      </w:r>
      <w:proofErr w:type="spellStart"/>
      <w:r w:rsidRPr="00317DE2">
        <w:rPr>
          <w:rFonts w:eastAsiaTheme="minorHAnsi" w:cs="Arial"/>
          <w:sz w:val="22"/>
          <w:szCs w:val="22"/>
          <w:lang w:eastAsia="en-US"/>
        </w:rPr>
        <w:t>RPDiT</w:t>
      </w:r>
      <w:proofErr w:type="spellEnd"/>
      <w:r w:rsidRPr="00317DE2">
        <w:rPr>
          <w:rFonts w:eastAsiaTheme="minorHAnsi" w:cs="Arial"/>
          <w:sz w:val="22"/>
          <w:szCs w:val="22"/>
          <w:lang w:eastAsia="en-US"/>
        </w:rPr>
        <w:t xml:space="preserve"> FAS/FASD w Lublinie prowadzi diagnozę zgodnie z przyjętymi w</w:t>
      </w:r>
      <w:r>
        <w:rPr>
          <w:rFonts w:eastAsiaTheme="minorHAnsi" w:cs="Arial"/>
          <w:sz w:val="22"/>
          <w:szCs w:val="22"/>
          <w:lang w:eastAsia="en-US"/>
        </w:rPr>
        <w:t> </w:t>
      </w:r>
      <w:r w:rsidRPr="00317DE2">
        <w:rPr>
          <w:rFonts w:eastAsiaTheme="minorHAnsi" w:cs="Arial"/>
          <w:sz w:val="22"/>
          <w:szCs w:val="22"/>
          <w:lang w:eastAsia="en-US"/>
        </w:rPr>
        <w:t xml:space="preserve">Polsce rekomendacjami opublikowanymi w czasopiśmie </w:t>
      </w:r>
      <w:r w:rsidR="002716FC">
        <w:rPr>
          <w:rFonts w:eastAsiaTheme="minorHAnsi" w:cs="Arial"/>
          <w:sz w:val="22"/>
          <w:szCs w:val="22"/>
          <w:lang w:eastAsia="en-US"/>
        </w:rPr>
        <w:t>„</w:t>
      </w:r>
      <w:r w:rsidRPr="00317DE2">
        <w:rPr>
          <w:rFonts w:eastAsiaTheme="minorHAnsi" w:cs="Arial"/>
          <w:sz w:val="22"/>
          <w:szCs w:val="22"/>
          <w:lang w:eastAsia="en-US"/>
        </w:rPr>
        <w:t>Medycyna praktyczna</w:t>
      </w:r>
      <w:r>
        <w:rPr>
          <w:rFonts w:eastAsiaTheme="minorHAnsi" w:cs="Arial"/>
          <w:sz w:val="22"/>
          <w:szCs w:val="22"/>
          <w:lang w:eastAsia="en-US"/>
        </w:rPr>
        <w:t xml:space="preserve"> </w:t>
      </w:r>
      <w:r w:rsidRPr="00317DE2">
        <w:rPr>
          <w:rFonts w:eastAsiaTheme="minorHAnsi" w:cs="Arial"/>
          <w:sz w:val="22"/>
          <w:szCs w:val="22"/>
          <w:lang w:eastAsia="en-US"/>
        </w:rPr>
        <w:t>-</w:t>
      </w:r>
      <w:r w:rsidR="002716FC">
        <w:rPr>
          <w:rFonts w:eastAsiaTheme="minorHAnsi" w:cs="Arial"/>
          <w:sz w:val="22"/>
          <w:szCs w:val="22"/>
          <w:lang w:eastAsia="en-US"/>
        </w:rPr>
        <w:t xml:space="preserve"> </w:t>
      </w:r>
      <w:r w:rsidRPr="00317DE2">
        <w:rPr>
          <w:rFonts w:eastAsiaTheme="minorHAnsi" w:cs="Arial"/>
          <w:sz w:val="22"/>
          <w:szCs w:val="22"/>
          <w:lang w:eastAsia="en-US"/>
        </w:rPr>
        <w:t>Pediatria”, wydanie specjalne 1/2025.</w:t>
      </w:r>
      <w:r w:rsidRPr="00317DE2">
        <w:rPr>
          <w:rStyle w:val="Odwoanieprzypisudolnego"/>
          <w:rFonts w:eastAsiaTheme="minorHAnsi" w:cs="Arial"/>
          <w:sz w:val="22"/>
          <w:szCs w:val="22"/>
          <w:lang w:eastAsia="en-US"/>
        </w:rPr>
        <w:footnoteReference w:id="36"/>
      </w:r>
    </w:p>
    <w:p w14:paraId="5291BDF0" w14:textId="5A833303" w:rsidR="001676E4" w:rsidRPr="00317DE2" w:rsidRDefault="00981D12" w:rsidP="001676E4">
      <w:pPr>
        <w:spacing w:after="0" w:line="360" w:lineRule="auto"/>
        <w:jc w:val="both"/>
        <w:rPr>
          <w:rFonts w:eastAsiaTheme="minorHAnsi" w:cs="Arial"/>
          <w:sz w:val="22"/>
          <w:szCs w:val="22"/>
          <w:lang w:eastAsia="en-US"/>
        </w:rPr>
      </w:pPr>
      <w:r>
        <w:rPr>
          <w:rFonts w:eastAsiaTheme="minorHAnsi" w:cs="Arial"/>
          <w:sz w:val="22"/>
          <w:szCs w:val="22"/>
          <w:lang w:eastAsia="en-US"/>
        </w:rPr>
        <w:tab/>
      </w:r>
      <w:r w:rsidR="001676E4" w:rsidRPr="00317DE2">
        <w:rPr>
          <w:rFonts w:eastAsiaTheme="minorHAnsi" w:cs="Arial"/>
          <w:sz w:val="22"/>
          <w:szCs w:val="22"/>
          <w:lang w:eastAsia="en-US"/>
        </w:rPr>
        <w:t xml:space="preserve">Średni roczny koszt prowadzenia Punktu to 400 000 zł – 450 000 zł, z czego ponad połowa to wydatki na działalność diagnostyczną i  terapeutyczną. </w:t>
      </w:r>
    </w:p>
    <w:p w14:paraId="7000C376" w14:textId="77777777" w:rsidR="001676E4" w:rsidRDefault="001676E4" w:rsidP="001676E4">
      <w:pPr>
        <w:spacing w:after="160" w:line="259" w:lineRule="auto"/>
        <w:rPr>
          <w:rFonts w:cs="Arial"/>
          <w:b/>
          <w:bCs/>
          <w:iCs/>
          <w:sz w:val="22"/>
          <w:szCs w:val="22"/>
        </w:rPr>
      </w:pPr>
      <w:bookmarkStart w:id="71" w:name="_Toc54081322"/>
      <w:bookmarkEnd w:id="63"/>
      <w:r>
        <w:br w:type="page"/>
      </w:r>
    </w:p>
    <w:p w14:paraId="685780F9" w14:textId="77777777" w:rsidR="001676E4" w:rsidRPr="00317DE2" w:rsidRDefault="001676E4" w:rsidP="00A43860">
      <w:pPr>
        <w:pStyle w:val="Nagwek1"/>
      </w:pPr>
      <w:bookmarkStart w:id="72" w:name="_Toc214277560"/>
      <w:r w:rsidRPr="00317DE2">
        <w:lastRenderedPageBreak/>
        <w:t>Diagnoza zjawiska narkomanii</w:t>
      </w:r>
      <w:bookmarkEnd w:id="71"/>
      <w:bookmarkEnd w:id="72"/>
    </w:p>
    <w:p w14:paraId="7744DA4F" w14:textId="66E06B5B" w:rsidR="001676E4" w:rsidRPr="00317DE2" w:rsidRDefault="001676E4" w:rsidP="001676E4">
      <w:pPr>
        <w:spacing w:after="0" w:line="360" w:lineRule="auto"/>
        <w:ind w:firstLine="426"/>
        <w:jc w:val="both"/>
        <w:rPr>
          <w:rFonts w:cs="Arial"/>
          <w:sz w:val="22"/>
          <w:szCs w:val="22"/>
        </w:rPr>
      </w:pPr>
      <w:r w:rsidRPr="00317DE2">
        <w:rPr>
          <w:rFonts w:cs="Arial"/>
          <w:sz w:val="22"/>
          <w:szCs w:val="22"/>
        </w:rPr>
        <w:t>Na potrzeby Programu przyjmujemy klasyfikację narkotyków wg Bogdana Szykulskiego, który dokonuje podziału narkotyków na 6 podstawowych grup, przy czym kryterium podziału stanowi tu kierunek ich działania farmakologicznego</w:t>
      </w:r>
      <w:r w:rsidRPr="00317DE2">
        <w:rPr>
          <w:rStyle w:val="Odwoanieprzypisudolnego"/>
          <w:rFonts w:cs="Arial"/>
          <w:sz w:val="22"/>
          <w:szCs w:val="22"/>
        </w:rPr>
        <w:footnoteReference w:id="37"/>
      </w:r>
      <w:r w:rsidRPr="00317DE2">
        <w:rPr>
          <w:rFonts w:cs="Arial"/>
          <w:sz w:val="22"/>
          <w:szCs w:val="22"/>
        </w:rPr>
        <w:t>:</w:t>
      </w:r>
    </w:p>
    <w:p w14:paraId="27780635" w14:textId="5D39AB45" w:rsidR="001676E4" w:rsidRPr="00317DE2" w:rsidRDefault="001676E4" w:rsidP="001676E4">
      <w:pPr>
        <w:pStyle w:val="Akapitzlist"/>
        <w:numPr>
          <w:ilvl w:val="0"/>
          <w:numId w:val="31"/>
        </w:numPr>
        <w:spacing w:after="0" w:line="360" w:lineRule="auto"/>
        <w:ind w:left="709" w:hanging="283"/>
        <w:jc w:val="both"/>
        <w:rPr>
          <w:rFonts w:cs="Arial"/>
          <w:sz w:val="22"/>
          <w:szCs w:val="22"/>
        </w:rPr>
      </w:pPr>
      <w:proofErr w:type="spellStart"/>
      <w:r w:rsidRPr="00317DE2">
        <w:rPr>
          <w:rFonts w:cs="Arial"/>
          <w:sz w:val="22"/>
          <w:szCs w:val="22"/>
        </w:rPr>
        <w:t>Depresanty</w:t>
      </w:r>
      <w:proofErr w:type="spellEnd"/>
      <w:r w:rsidRPr="00317DE2">
        <w:rPr>
          <w:rFonts w:cs="Arial"/>
          <w:sz w:val="22"/>
          <w:szCs w:val="22"/>
        </w:rPr>
        <w:t xml:space="preserve"> ośrodkowego układu nerwowego (OUN), tj. związki zmniejszające przejawy aktywności ośrodkowego układu nerwowego (m.in. alkohol etylowy, barbiturany, </w:t>
      </w:r>
      <w:proofErr w:type="spellStart"/>
      <w:r w:rsidRPr="00317DE2">
        <w:rPr>
          <w:rFonts w:cs="Arial"/>
          <w:sz w:val="22"/>
          <w:szCs w:val="22"/>
        </w:rPr>
        <w:t>benzodiazepiny</w:t>
      </w:r>
      <w:proofErr w:type="spellEnd"/>
      <w:r w:rsidRPr="00317DE2">
        <w:rPr>
          <w:rFonts w:cs="Arial"/>
          <w:sz w:val="22"/>
          <w:szCs w:val="22"/>
        </w:rPr>
        <w:t xml:space="preserve"> i kwas γ-</w:t>
      </w:r>
      <w:proofErr w:type="spellStart"/>
      <w:r w:rsidRPr="00317DE2">
        <w:rPr>
          <w:rFonts w:cs="Arial"/>
          <w:sz w:val="22"/>
          <w:szCs w:val="22"/>
        </w:rPr>
        <w:t>hydroksymasłowy</w:t>
      </w:r>
      <w:proofErr w:type="spellEnd"/>
      <w:r w:rsidRPr="00317DE2">
        <w:rPr>
          <w:rFonts w:cs="Arial"/>
          <w:sz w:val="22"/>
          <w:szCs w:val="22"/>
        </w:rPr>
        <w:t>);</w:t>
      </w:r>
    </w:p>
    <w:p w14:paraId="4292DC52" w14:textId="086C5D19" w:rsidR="001676E4" w:rsidRPr="00317DE2" w:rsidRDefault="001676E4" w:rsidP="001676E4">
      <w:pPr>
        <w:pStyle w:val="Akapitzlist"/>
        <w:numPr>
          <w:ilvl w:val="0"/>
          <w:numId w:val="31"/>
        </w:numPr>
        <w:spacing w:after="0" w:line="360" w:lineRule="auto"/>
        <w:ind w:left="709" w:hanging="283"/>
        <w:jc w:val="both"/>
        <w:rPr>
          <w:rFonts w:cs="Arial"/>
          <w:sz w:val="22"/>
          <w:szCs w:val="22"/>
        </w:rPr>
      </w:pPr>
      <w:r w:rsidRPr="00317DE2">
        <w:rPr>
          <w:rFonts w:cs="Arial"/>
          <w:sz w:val="22"/>
          <w:szCs w:val="22"/>
        </w:rPr>
        <w:t>Stymulanty OUN, tj. psychoaktywne substancje pobudzające czynność OUN</w:t>
      </w:r>
      <w:r w:rsidR="00C9670E">
        <w:rPr>
          <w:rFonts w:cs="Arial"/>
          <w:sz w:val="22"/>
          <w:szCs w:val="22"/>
        </w:rPr>
        <w:t xml:space="preserve"> </w:t>
      </w:r>
      <w:r w:rsidRPr="00317DE2">
        <w:rPr>
          <w:rFonts w:cs="Arial"/>
          <w:sz w:val="22"/>
          <w:szCs w:val="22"/>
        </w:rPr>
        <w:t xml:space="preserve">(m.in. amfetamina, </w:t>
      </w:r>
      <w:proofErr w:type="spellStart"/>
      <w:r w:rsidRPr="00317DE2">
        <w:rPr>
          <w:rFonts w:cs="Arial"/>
          <w:sz w:val="22"/>
          <w:szCs w:val="22"/>
        </w:rPr>
        <w:t>metamfetamina</w:t>
      </w:r>
      <w:proofErr w:type="spellEnd"/>
      <w:r w:rsidRPr="00317DE2">
        <w:rPr>
          <w:rFonts w:cs="Arial"/>
          <w:sz w:val="22"/>
          <w:szCs w:val="22"/>
        </w:rPr>
        <w:t xml:space="preserve">, kokaina, </w:t>
      </w:r>
      <w:proofErr w:type="spellStart"/>
      <w:r w:rsidRPr="00317DE2">
        <w:rPr>
          <w:rFonts w:cs="Arial"/>
          <w:sz w:val="22"/>
          <w:szCs w:val="22"/>
        </w:rPr>
        <w:t>metkatinon</w:t>
      </w:r>
      <w:proofErr w:type="spellEnd"/>
      <w:r w:rsidRPr="00317DE2">
        <w:rPr>
          <w:rFonts w:cs="Arial"/>
          <w:sz w:val="22"/>
          <w:szCs w:val="22"/>
        </w:rPr>
        <w:t xml:space="preserve">, </w:t>
      </w:r>
      <w:proofErr w:type="spellStart"/>
      <w:r w:rsidRPr="00317DE2">
        <w:rPr>
          <w:rFonts w:cs="Arial"/>
          <w:sz w:val="22"/>
          <w:szCs w:val="22"/>
        </w:rPr>
        <w:t>katina</w:t>
      </w:r>
      <w:proofErr w:type="spellEnd"/>
      <w:r w:rsidRPr="00317DE2">
        <w:rPr>
          <w:rFonts w:cs="Arial"/>
          <w:sz w:val="22"/>
          <w:szCs w:val="22"/>
        </w:rPr>
        <w:t xml:space="preserve"> i </w:t>
      </w:r>
      <w:proofErr w:type="spellStart"/>
      <w:r w:rsidRPr="00317DE2">
        <w:rPr>
          <w:rFonts w:cs="Arial"/>
          <w:sz w:val="22"/>
          <w:szCs w:val="22"/>
        </w:rPr>
        <w:t>katinon</w:t>
      </w:r>
      <w:proofErr w:type="spellEnd"/>
      <w:r w:rsidRPr="00317DE2">
        <w:rPr>
          <w:rFonts w:cs="Arial"/>
          <w:sz w:val="22"/>
          <w:szCs w:val="22"/>
        </w:rPr>
        <w:t>);</w:t>
      </w:r>
    </w:p>
    <w:p w14:paraId="171B110E" w14:textId="77777777" w:rsidR="001676E4" w:rsidRPr="00317DE2" w:rsidRDefault="001676E4" w:rsidP="001676E4">
      <w:pPr>
        <w:pStyle w:val="Akapitzlist"/>
        <w:numPr>
          <w:ilvl w:val="0"/>
          <w:numId w:val="31"/>
        </w:numPr>
        <w:spacing w:after="0" w:line="360" w:lineRule="auto"/>
        <w:ind w:left="709" w:hanging="283"/>
        <w:jc w:val="both"/>
        <w:rPr>
          <w:rFonts w:cs="Arial"/>
          <w:sz w:val="22"/>
          <w:szCs w:val="22"/>
        </w:rPr>
      </w:pPr>
      <w:proofErr w:type="spellStart"/>
      <w:r w:rsidRPr="00317DE2">
        <w:rPr>
          <w:rFonts w:cs="Arial"/>
          <w:sz w:val="22"/>
          <w:szCs w:val="22"/>
        </w:rPr>
        <w:t>Opioidy</w:t>
      </w:r>
      <w:proofErr w:type="spellEnd"/>
      <w:r w:rsidRPr="00317DE2">
        <w:rPr>
          <w:rFonts w:cs="Arial"/>
          <w:sz w:val="22"/>
          <w:szCs w:val="22"/>
        </w:rPr>
        <w:t xml:space="preserve">: morfina, kodeina, tebaina oraz </w:t>
      </w:r>
      <w:proofErr w:type="spellStart"/>
      <w:r w:rsidRPr="00317DE2">
        <w:rPr>
          <w:rFonts w:cs="Arial"/>
          <w:sz w:val="22"/>
          <w:szCs w:val="22"/>
        </w:rPr>
        <w:t>opioidy</w:t>
      </w:r>
      <w:proofErr w:type="spellEnd"/>
      <w:r w:rsidRPr="00317DE2">
        <w:rPr>
          <w:rFonts w:cs="Arial"/>
          <w:sz w:val="22"/>
          <w:szCs w:val="22"/>
        </w:rPr>
        <w:t xml:space="preserve"> półsyntetyczne i syntetyczne;</w:t>
      </w:r>
    </w:p>
    <w:p w14:paraId="046A02B5" w14:textId="403C3231" w:rsidR="001676E4" w:rsidRPr="00317DE2" w:rsidRDefault="001676E4" w:rsidP="001676E4">
      <w:pPr>
        <w:pStyle w:val="Akapitzlist"/>
        <w:numPr>
          <w:ilvl w:val="0"/>
          <w:numId w:val="31"/>
        </w:numPr>
        <w:spacing w:after="0" w:line="360" w:lineRule="auto"/>
        <w:ind w:left="709" w:hanging="283"/>
        <w:jc w:val="both"/>
        <w:rPr>
          <w:rFonts w:cs="Arial"/>
          <w:sz w:val="22"/>
          <w:szCs w:val="22"/>
        </w:rPr>
      </w:pPr>
      <w:proofErr w:type="spellStart"/>
      <w:r w:rsidRPr="00317DE2">
        <w:rPr>
          <w:rFonts w:cs="Arial"/>
          <w:sz w:val="22"/>
          <w:szCs w:val="22"/>
        </w:rPr>
        <w:t>Kannabinoidy</w:t>
      </w:r>
      <w:proofErr w:type="spellEnd"/>
      <w:r w:rsidRPr="00317DE2">
        <w:rPr>
          <w:rFonts w:cs="Arial"/>
          <w:sz w:val="22"/>
          <w:szCs w:val="22"/>
        </w:rPr>
        <w:t xml:space="preserve">, tj. składniki konopi </w:t>
      </w:r>
      <w:proofErr w:type="spellStart"/>
      <w:r w:rsidRPr="00317DE2">
        <w:rPr>
          <w:rFonts w:cs="Arial"/>
          <w:sz w:val="22"/>
          <w:szCs w:val="22"/>
        </w:rPr>
        <w:t>Cannabissativa</w:t>
      </w:r>
      <w:proofErr w:type="spellEnd"/>
      <w:r w:rsidRPr="00317DE2">
        <w:rPr>
          <w:rFonts w:cs="Arial"/>
          <w:sz w:val="22"/>
          <w:szCs w:val="22"/>
        </w:rPr>
        <w:t>, występujące na rynku</w:t>
      </w:r>
      <w:r w:rsidR="00C9670E">
        <w:rPr>
          <w:rFonts w:cs="Arial"/>
          <w:sz w:val="22"/>
          <w:szCs w:val="22"/>
        </w:rPr>
        <w:t xml:space="preserve"> </w:t>
      </w:r>
      <w:r w:rsidRPr="00317DE2">
        <w:rPr>
          <w:rFonts w:cs="Arial"/>
          <w:sz w:val="22"/>
          <w:szCs w:val="22"/>
        </w:rPr>
        <w:t>narkotykowym jako marihuana, haszysz i olej haszyszowy;</w:t>
      </w:r>
    </w:p>
    <w:p w14:paraId="71F68B34" w14:textId="605E5EC9" w:rsidR="001676E4" w:rsidRPr="00317DE2" w:rsidRDefault="001676E4" w:rsidP="001676E4">
      <w:pPr>
        <w:pStyle w:val="Akapitzlist"/>
        <w:numPr>
          <w:ilvl w:val="0"/>
          <w:numId w:val="31"/>
        </w:numPr>
        <w:spacing w:after="0" w:line="360" w:lineRule="auto"/>
        <w:ind w:left="709" w:hanging="283"/>
        <w:jc w:val="both"/>
        <w:rPr>
          <w:rFonts w:cs="Arial"/>
          <w:sz w:val="22"/>
          <w:szCs w:val="22"/>
        </w:rPr>
      </w:pPr>
      <w:r w:rsidRPr="00317DE2">
        <w:rPr>
          <w:rFonts w:cs="Arial"/>
          <w:sz w:val="22"/>
          <w:szCs w:val="22"/>
        </w:rPr>
        <w:t>Halucynogeny, związki wywołujące halucynacje, które dzieli się zwykle na</w:t>
      </w:r>
      <w:r w:rsidR="00C9670E">
        <w:rPr>
          <w:rFonts w:cs="Arial"/>
          <w:sz w:val="22"/>
          <w:szCs w:val="22"/>
        </w:rPr>
        <w:t xml:space="preserve"> </w:t>
      </w:r>
      <w:r w:rsidRPr="00317DE2">
        <w:rPr>
          <w:rFonts w:cs="Arial"/>
          <w:sz w:val="22"/>
          <w:szCs w:val="22"/>
        </w:rPr>
        <w:t>4 podgrupy należące do różnych grup chemicznych:</w:t>
      </w:r>
    </w:p>
    <w:p w14:paraId="1A47459A" w14:textId="77777777" w:rsidR="001676E4" w:rsidRPr="00317DE2" w:rsidRDefault="001676E4" w:rsidP="001676E4">
      <w:pPr>
        <w:pStyle w:val="Akapitzlist"/>
        <w:numPr>
          <w:ilvl w:val="1"/>
          <w:numId w:val="31"/>
        </w:numPr>
        <w:spacing w:after="0" w:line="360" w:lineRule="auto"/>
        <w:ind w:left="1134" w:hanging="283"/>
        <w:jc w:val="both"/>
        <w:rPr>
          <w:rFonts w:cs="Arial"/>
          <w:sz w:val="22"/>
          <w:szCs w:val="22"/>
        </w:rPr>
      </w:pPr>
      <w:r w:rsidRPr="00317DE2">
        <w:rPr>
          <w:rFonts w:cs="Arial"/>
          <w:sz w:val="22"/>
          <w:szCs w:val="22"/>
        </w:rPr>
        <w:t xml:space="preserve">pochodne </w:t>
      </w:r>
      <w:proofErr w:type="spellStart"/>
      <w:r w:rsidRPr="00317DE2">
        <w:rPr>
          <w:rFonts w:cs="Arial"/>
          <w:sz w:val="22"/>
          <w:szCs w:val="22"/>
        </w:rPr>
        <w:t>ergoliny</w:t>
      </w:r>
      <w:proofErr w:type="spellEnd"/>
      <w:r w:rsidRPr="00317DE2">
        <w:rPr>
          <w:rFonts w:cs="Arial"/>
          <w:sz w:val="22"/>
          <w:szCs w:val="22"/>
        </w:rPr>
        <w:t xml:space="preserve"> (</w:t>
      </w:r>
      <w:proofErr w:type="spellStart"/>
      <w:r w:rsidRPr="00317DE2">
        <w:rPr>
          <w:rFonts w:cs="Arial"/>
          <w:sz w:val="22"/>
          <w:szCs w:val="22"/>
        </w:rPr>
        <w:t>lizergid</w:t>
      </w:r>
      <w:proofErr w:type="spellEnd"/>
      <w:r w:rsidRPr="00317DE2">
        <w:rPr>
          <w:rFonts w:cs="Arial"/>
          <w:sz w:val="22"/>
          <w:szCs w:val="22"/>
        </w:rPr>
        <w:t>),</w:t>
      </w:r>
    </w:p>
    <w:p w14:paraId="3B45D43A" w14:textId="77777777" w:rsidR="001676E4" w:rsidRPr="00317DE2" w:rsidRDefault="001676E4" w:rsidP="001676E4">
      <w:pPr>
        <w:pStyle w:val="Akapitzlist"/>
        <w:numPr>
          <w:ilvl w:val="1"/>
          <w:numId w:val="31"/>
        </w:numPr>
        <w:spacing w:after="0" w:line="360" w:lineRule="auto"/>
        <w:ind w:left="1134" w:hanging="283"/>
        <w:jc w:val="both"/>
        <w:rPr>
          <w:rFonts w:cs="Arial"/>
          <w:sz w:val="22"/>
          <w:szCs w:val="22"/>
        </w:rPr>
      </w:pPr>
      <w:r w:rsidRPr="00317DE2">
        <w:rPr>
          <w:rFonts w:cs="Arial"/>
          <w:sz w:val="22"/>
          <w:szCs w:val="22"/>
        </w:rPr>
        <w:t>pochodne tryptaminy (</w:t>
      </w:r>
      <w:proofErr w:type="spellStart"/>
      <w:r w:rsidRPr="00317DE2">
        <w:rPr>
          <w:rFonts w:cs="Arial"/>
          <w:sz w:val="22"/>
          <w:szCs w:val="22"/>
        </w:rPr>
        <w:t>psylocyna</w:t>
      </w:r>
      <w:proofErr w:type="spellEnd"/>
      <w:r w:rsidRPr="00317DE2">
        <w:rPr>
          <w:rFonts w:cs="Arial"/>
          <w:sz w:val="22"/>
          <w:szCs w:val="22"/>
        </w:rPr>
        <w:t xml:space="preserve"> i psylocybina),</w:t>
      </w:r>
    </w:p>
    <w:p w14:paraId="00EB8027" w14:textId="77777777" w:rsidR="001676E4" w:rsidRPr="00317DE2" w:rsidRDefault="001676E4" w:rsidP="001676E4">
      <w:pPr>
        <w:pStyle w:val="Akapitzlist"/>
        <w:numPr>
          <w:ilvl w:val="1"/>
          <w:numId w:val="31"/>
        </w:numPr>
        <w:spacing w:after="0" w:line="360" w:lineRule="auto"/>
        <w:ind w:left="1134" w:hanging="283"/>
        <w:jc w:val="both"/>
        <w:rPr>
          <w:rFonts w:cs="Arial"/>
          <w:sz w:val="22"/>
          <w:szCs w:val="22"/>
        </w:rPr>
      </w:pPr>
      <w:r w:rsidRPr="00317DE2">
        <w:rPr>
          <w:rFonts w:cs="Arial"/>
          <w:sz w:val="22"/>
          <w:szCs w:val="22"/>
        </w:rPr>
        <w:t xml:space="preserve">pochodne karboliny (harmina i </w:t>
      </w:r>
      <w:proofErr w:type="spellStart"/>
      <w:r w:rsidRPr="00317DE2">
        <w:rPr>
          <w:rFonts w:cs="Arial"/>
          <w:sz w:val="22"/>
          <w:szCs w:val="22"/>
        </w:rPr>
        <w:t>harmalina</w:t>
      </w:r>
      <w:proofErr w:type="spellEnd"/>
      <w:r w:rsidRPr="00317DE2">
        <w:rPr>
          <w:rFonts w:cs="Arial"/>
          <w:sz w:val="22"/>
          <w:szCs w:val="22"/>
        </w:rPr>
        <w:t>),</w:t>
      </w:r>
    </w:p>
    <w:p w14:paraId="65A00BCB" w14:textId="77777777" w:rsidR="001676E4" w:rsidRPr="00317DE2" w:rsidRDefault="001676E4" w:rsidP="001676E4">
      <w:pPr>
        <w:pStyle w:val="Akapitzlist"/>
        <w:numPr>
          <w:ilvl w:val="1"/>
          <w:numId w:val="31"/>
        </w:numPr>
        <w:spacing w:after="0" w:line="360" w:lineRule="auto"/>
        <w:ind w:left="1134" w:hanging="283"/>
        <w:jc w:val="both"/>
        <w:rPr>
          <w:rFonts w:cs="Arial"/>
          <w:sz w:val="22"/>
          <w:szCs w:val="22"/>
        </w:rPr>
      </w:pPr>
      <w:r w:rsidRPr="00317DE2">
        <w:rPr>
          <w:rFonts w:cs="Arial"/>
          <w:sz w:val="22"/>
          <w:szCs w:val="22"/>
        </w:rPr>
        <w:t xml:space="preserve">pochodne </w:t>
      </w:r>
      <w:proofErr w:type="spellStart"/>
      <w:r w:rsidRPr="00317DE2">
        <w:rPr>
          <w:rFonts w:cs="Arial"/>
          <w:sz w:val="22"/>
          <w:szCs w:val="22"/>
        </w:rPr>
        <w:t>fenetylaminy</w:t>
      </w:r>
      <w:proofErr w:type="spellEnd"/>
      <w:r w:rsidRPr="00317DE2">
        <w:rPr>
          <w:rFonts w:cs="Arial"/>
          <w:sz w:val="22"/>
          <w:szCs w:val="22"/>
        </w:rPr>
        <w:t xml:space="preserve"> (meskalina).</w:t>
      </w:r>
    </w:p>
    <w:p w14:paraId="47F14A5B" w14:textId="1F672ED2" w:rsidR="001676E4" w:rsidRPr="00317DE2" w:rsidRDefault="001676E4" w:rsidP="001676E4">
      <w:pPr>
        <w:pStyle w:val="Akapitzlist"/>
        <w:numPr>
          <w:ilvl w:val="0"/>
          <w:numId w:val="31"/>
        </w:numPr>
        <w:spacing w:after="0" w:line="360" w:lineRule="auto"/>
        <w:ind w:left="709" w:hanging="283"/>
        <w:jc w:val="both"/>
        <w:rPr>
          <w:rFonts w:cs="Arial"/>
          <w:sz w:val="22"/>
          <w:szCs w:val="22"/>
        </w:rPr>
      </w:pPr>
      <w:proofErr w:type="spellStart"/>
      <w:r w:rsidRPr="00317DE2">
        <w:rPr>
          <w:rFonts w:cs="Arial"/>
          <w:sz w:val="22"/>
          <w:szCs w:val="22"/>
        </w:rPr>
        <w:t>Inhalanty</w:t>
      </w:r>
      <w:proofErr w:type="spellEnd"/>
      <w:r w:rsidRPr="00317DE2">
        <w:rPr>
          <w:rFonts w:cs="Arial"/>
          <w:sz w:val="22"/>
          <w:szCs w:val="22"/>
        </w:rPr>
        <w:t xml:space="preserve"> albo wziewne środki odurzające (</w:t>
      </w:r>
      <w:proofErr w:type="spellStart"/>
      <w:r w:rsidRPr="00317DE2">
        <w:rPr>
          <w:rFonts w:cs="Arial"/>
          <w:sz w:val="22"/>
          <w:szCs w:val="22"/>
        </w:rPr>
        <w:t>volatilesubstanceabuse</w:t>
      </w:r>
      <w:proofErr w:type="spellEnd"/>
      <w:r w:rsidRPr="00317DE2">
        <w:rPr>
          <w:rFonts w:cs="Arial"/>
          <w:sz w:val="22"/>
          <w:szCs w:val="22"/>
        </w:rPr>
        <w:t>, VSA)</w:t>
      </w:r>
      <w:r w:rsidR="00C9670E">
        <w:rPr>
          <w:rFonts w:cs="Arial"/>
          <w:sz w:val="22"/>
          <w:szCs w:val="22"/>
        </w:rPr>
        <w:t xml:space="preserve"> </w:t>
      </w:r>
      <w:r w:rsidRPr="00317DE2">
        <w:rPr>
          <w:rFonts w:cs="Arial"/>
          <w:sz w:val="22"/>
          <w:szCs w:val="22"/>
        </w:rPr>
        <w:t xml:space="preserve">– duża grupa związków, które stosują głównie ludzie bardzo młodzi, </w:t>
      </w:r>
      <w:proofErr w:type="spellStart"/>
      <w:r w:rsidRPr="00317DE2">
        <w:rPr>
          <w:rFonts w:cs="Arial"/>
          <w:sz w:val="22"/>
          <w:szCs w:val="22"/>
        </w:rPr>
        <w:t>częstonawet</w:t>
      </w:r>
      <w:proofErr w:type="spellEnd"/>
      <w:r w:rsidRPr="00317DE2">
        <w:rPr>
          <w:rFonts w:cs="Arial"/>
          <w:sz w:val="22"/>
          <w:szCs w:val="22"/>
        </w:rPr>
        <w:t xml:space="preserve"> uczniowie szkół podstawowych. Jest to spowodowane ich łatwą dostępnością, niską ceną, </w:t>
      </w:r>
      <w:r w:rsidRPr="00317DE2">
        <w:rPr>
          <w:rFonts w:cs="Arial"/>
          <w:sz w:val="22"/>
          <w:szCs w:val="22"/>
        </w:rPr>
        <w:br/>
        <w:t>a także prostymi sposobami stosowania (wdychanie).</w:t>
      </w:r>
    </w:p>
    <w:p w14:paraId="0EBE61AC" w14:textId="77777777" w:rsidR="001676E4" w:rsidRPr="00D503F3" w:rsidRDefault="001676E4" w:rsidP="001676E4">
      <w:pPr>
        <w:pStyle w:val="Akapitzlist"/>
        <w:numPr>
          <w:ilvl w:val="0"/>
          <w:numId w:val="31"/>
        </w:numPr>
        <w:spacing w:after="0" w:line="360" w:lineRule="auto"/>
        <w:ind w:left="709" w:hanging="283"/>
        <w:jc w:val="both"/>
        <w:rPr>
          <w:rFonts w:cs="Arial"/>
          <w:sz w:val="22"/>
          <w:szCs w:val="22"/>
        </w:rPr>
      </w:pPr>
      <w:r w:rsidRPr="00317DE2">
        <w:rPr>
          <w:rFonts w:cs="Arial"/>
          <w:sz w:val="22"/>
          <w:szCs w:val="22"/>
        </w:rPr>
        <w:t xml:space="preserve">Do </w:t>
      </w:r>
      <w:proofErr w:type="spellStart"/>
      <w:r w:rsidRPr="00317DE2">
        <w:rPr>
          <w:rFonts w:cs="Arial"/>
          <w:sz w:val="22"/>
          <w:szCs w:val="22"/>
        </w:rPr>
        <w:t>inhalantów</w:t>
      </w:r>
      <w:proofErr w:type="spellEnd"/>
      <w:r w:rsidRPr="00317DE2">
        <w:rPr>
          <w:rFonts w:cs="Arial"/>
          <w:sz w:val="22"/>
          <w:szCs w:val="22"/>
        </w:rPr>
        <w:t xml:space="preserve"> należą pospolite rozpuszczalniki, np. toluen, ksylen, heksan</w:t>
      </w:r>
      <w:r w:rsidRPr="00317DE2">
        <w:rPr>
          <w:rFonts w:cs="Arial"/>
          <w:sz w:val="22"/>
          <w:szCs w:val="22"/>
        </w:rPr>
        <w:br/>
      </w:r>
      <w:r w:rsidRPr="00D503F3">
        <w:rPr>
          <w:rFonts w:cs="Arial"/>
          <w:sz w:val="22"/>
          <w:szCs w:val="22"/>
        </w:rPr>
        <w:t xml:space="preserve">i benzyna, gazy np. propan i butan, </w:t>
      </w:r>
      <w:proofErr w:type="spellStart"/>
      <w:r w:rsidRPr="00D503F3">
        <w:rPr>
          <w:rFonts w:cs="Arial"/>
          <w:sz w:val="22"/>
          <w:szCs w:val="22"/>
        </w:rPr>
        <w:t>propelanty</w:t>
      </w:r>
      <w:proofErr w:type="spellEnd"/>
      <w:r w:rsidRPr="00D503F3">
        <w:rPr>
          <w:rFonts w:cs="Arial"/>
          <w:sz w:val="22"/>
          <w:szCs w:val="22"/>
        </w:rPr>
        <w:t xml:space="preserve"> aerozoli, spreje.</w:t>
      </w:r>
    </w:p>
    <w:p w14:paraId="38B5CA71" w14:textId="77777777" w:rsidR="001676E4" w:rsidRPr="00D503F3" w:rsidRDefault="001676E4" w:rsidP="001676E4">
      <w:pPr>
        <w:spacing w:after="0" w:line="360" w:lineRule="auto"/>
        <w:ind w:firstLine="426"/>
        <w:jc w:val="both"/>
        <w:rPr>
          <w:rFonts w:cs="Arial"/>
          <w:sz w:val="22"/>
          <w:szCs w:val="22"/>
        </w:rPr>
      </w:pPr>
      <w:r w:rsidRPr="00D503F3">
        <w:rPr>
          <w:rFonts w:cs="Arial"/>
          <w:sz w:val="22"/>
          <w:szCs w:val="22"/>
        </w:rPr>
        <w:t>Do szerokiego zakresu substancji psychoaktywnych należą substancje legalne takie jak: leki przeciwbólowe i nasenne czy substancje wziewne oraz szeroka gama substancji nielegalnych. Pod pojęciem substancji nielegalnych rozumiemy substancje, których produkcja i</w:t>
      </w:r>
      <w:r>
        <w:rPr>
          <w:rFonts w:cs="Arial"/>
          <w:sz w:val="22"/>
          <w:szCs w:val="22"/>
        </w:rPr>
        <w:t> </w:t>
      </w:r>
      <w:r w:rsidRPr="00D503F3">
        <w:rPr>
          <w:rFonts w:cs="Arial"/>
          <w:sz w:val="22"/>
          <w:szCs w:val="22"/>
        </w:rPr>
        <w:t>obrót nimi są czynami zabronionymi przez prawo. Substancje te dzielimy na narkotyki (gdzie skład i działanie jest znane i opisane w literaturze przedmiotu i aktach prawnych) i pozostałe substancje nielegalne w ustawodawstwie unijnym określane jako nowe substancje psychoaktywne (NSP) i środki zastępcze (ŚZ).</w:t>
      </w:r>
    </w:p>
    <w:p w14:paraId="53A25D98" w14:textId="77777777" w:rsidR="001676E4" w:rsidRPr="00317DE2" w:rsidRDefault="001676E4" w:rsidP="001676E4">
      <w:pPr>
        <w:spacing w:after="0" w:line="360" w:lineRule="auto"/>
        <w:ind w:firstLine="426"/>
        <w:jc w:val="both"/>
        <w:rPr>
          <w:rFonts w:cs="Arial"/>
          <w:sz w:val="22"/>
          <w:szCs w:val="22"/>
        </w:rPr>
      </w:pPr>
      <w:bookmarkStart w:id="73" w:name="_Toc54081324"/>
      <w:r w:rsidRPr="00317DE2">
        <w:rPr>
          <w:rFonts w:cs="Arial"/>
          <w:sz w:val="22"/>
          <w:szCs w:val="22"/>
        </w:rPr>
        <w:lastRenderedPageBreak/>
        <w:t>Zgodnie z definicją KCPU „problemowe używanie narkotyków jest rozumiane jako długotrwałe używanie narkotyków (substancji nielegalnych), które powoduje u osoby używającej poważne problemy natury zdrowotnej i społecznej”</w:t>
      </w:r>
      <w:r w:rsidRPr="00317DE2">
        <w:rPr>
          <w:rFonts w:cs="Arial"/>
          <w:sz w:val="22"/>
          <w:szCs w:val="22"/>
          <w:vertAlign w:val="superscript"/>
        </w:rPr>
        <w:footnoteReference w:id="38"/>
      </w:r>
      <w:r w:rsidRPr="00317DE2">
        <w:rPr>
          <w:rFonts w:cs="Arial"/>
          <w:i/>
          <w:sz w:val="22"/>
          <w:szCs w:val="22"/>
        </w:rPr>
        <w:t>.</w:t>
      </w:r>
    </w:p>
    <w:p w14:paraId="6431AFFD" w14:textId="77777777" w:rsidR="001676E4" w:rsidRPr="00317DE2" w:rsidRDefault="001676E4" w:rsidP="00B11CBB">
      <w:pPr>
        <w:pStyle w:val="Nagwek2"/>
      </w:pPr>
      <w:bookmarkStart w:id="74" w:name="_Toc54081326"/>
      <w:bookmarkStart w:id="75" w:name="_Toc214277561"/>
      <w:bookmarkEnd w:id="73"/>
      <w:r w:rsidRPr="00317DE2">
        <w:t>Diagnoza narkomanii wśród osób dorosłych</w:t>
      </w:r>
      <w:bookmarkEnd w:id="74"/>
      <w:bookmarkEnd w:id="75"/>
    </w:p>
    <w:p w14:paraId="613973F8" w14:textId="77777777" w:rsidR="001676E4" w:rsidRPr="00904284" w:rsidRDefault="001676E4" w:rsidP="001676E4">
      <w:pPr>
        <w:spacing w:after="0" w:line="360" w:lineRule="auto"/>
        <w:ind w:firstLine="425"/>
        <w:jc w:val="both"/>
        <w:rPr>
          <w:rFonts w:cs="Arial"/>
          <w:bCs/>
          <w:color w:val="00B050"/>
          <w:sz w:val="22"/>
          <w:szCs w:val="22"/>
        </w:rPr>
      </w:pPr>
      <w:r w:rsidRPr="00FF1107">
        <w:rPr>
          <w:rFonts w:cs="Arial"/>
          <w:sz w:val="22"/>
          <w:szCs w:val="22"/>
        </w:rPr>
        <w:t xml:space="preserve">Używanie narkotyków jest o wiele mniej rozpowszechnione niż picie napojów alkoholowych. Odsetek osób, które miały kontakt z narkotykami w 2024 roku w Polsce był kilkunastokrotnie niższy od odsetka osób mających kontakt z alkoholem. </w:t>
      </w:r>
      <w:r w:rsidRPr="00FF1107">
        <w:rPr>
          <w:rFonts w:cs="Arial"/>
          <w:bCs/>
          <w:sz w:val="22"/>
          <w:szCs w:val="22"/>
        </w:rPr>
        <w:t xml:space="preserve">Scena narkotykowa nie jest już tak homogeniczna, jak to było w przeszłości, kiedy dominowała na niej heroina. Obecnie popularność różnych substancji psychoaktywnych jest zróżnicowana. Według danych z programów redukcji szkód w Krakowie heroina nie pojawia się już na rynku, a użytkownicy iniekcyjni przyjmują przede wszystkim morfinę i amfetaminę. Natomiast w Warszawie nadal jest ona popularna wśród iniekcyjnych użytkowników narkotyków.  </w:t>
      </w:r>
    </w:p>
    <w:p w14:paraId="6DE168EC" w14:textId="4687B821" w:rsidR="001676E4" w:rsidRPr="0054713D" w:rsidRDefault="001676E4" w:rsidP="001676E4">
      <w:pPr>
        <w:pStyle w:val="Legenda"/>
        <w:keepNext/>
        <w:rPr>
          <w:sz w:val="20"/>
          <w:szCs w:val="16"/>
        </w:rPr>
      </w:pPr>
      <w:bookmarkStart w:id="76" w:name="_Toc214279929"/>
      <w:r w:rsidRPr="0054713D">
        <w:rPr>
          <w:sz w:val="20"/>
          <w:szCs w:val="16"/>
        </w:rPr>
        <w:t xml:space="preserve">Wykres </w:t>
      </w:r>
      <w:r w:rsidRPr="0054713D">
        <w:rPr>
          <w:sz w:val="20"/>
          <w:szCs w:val="16"/>
        </w:rPr>
        <w:fldChar w:fldCharType="begin"/>
      </w:r>
      <w:r w:rsidRPr="0054713D">
        <w:rPr>
          <w:sz w:val="20"/>
          <w:szCs w:val="16"/>
        </w:rPr>
        <w:instrText xml:space="preserve"> SEQ Wykres \* ARABIC </w:instrText>
      </w:r>
      <w:r w:rsidRPr="0054713D">
        <w:rPr>
          <w:sz w:val="20"/>
          <w:szCs w:val="16"/>
        </w:rPr>
        <w:fldChar w:fldCharType="separate"/>
      </w:r>
      <w:r w:rsidRPr="0054713D">
        <w:rPr>
          <w:noProof/>
          <w:sz w:val="20"/>
          <w:szCs w:val="16"/>
        </w:rPr>
        <w:t>1</w:t>
      </w:r>
      <w:r w:rsidRPr="0054713D">
        <w:rPr>
          <w:sz w:val="20"/>
          <w:szCs w:val="16"/>
        </w:rPr>
        <w:fldChar w:fldCharType="end"/>
      </w:r>
      <w:r w:rsidR="00C9670E">
        <w:rPr>
          <w:sz w:val="20"/>
          <w:szCs w:val="16"/>
        </w:rPr>
        <w:t>2</w:t>
      </w:r>
      <w:r w:rsidRPr="0054713D">
        <w:rPr>
          <w:sz w:val="20"/>
          <w:szCs w:val="16"/>
        </w:rPr>
        <w:t>. Używanie mniej popularnych substancji psychoaktywnych</w:t>
      </w:r>
      <w:bookmarkEnd w:id="76"/>
    </w:p>
    <w:p w14:paraId="7B8320FD" w14:textId="77777777" w:rsidR="001676E4" w:rsidRPr="00317DE2" w:rsidRDefault="001676E4" w:rsidP="001676E4">
      <w:pPr>
        <w:jc w:val="center"/>
        <w:rPr>
          <w:rFonts w:cs="Arial"/>
          <w:sz w:val="22"/>
          <w:szCs w:val="22"/>
        </w:rPr>
      </w:pPr>
      <w:r w:rsidRPr="00317DE2">
        <w:rPr>
          <w:rFonts w:cs="Arial"/>
          <w:noProof/>
          <w:sz w:val="22"/>
          <w:szCs w:val="22"/>
        </w:rPr>
        <w:drawing>
          <wp:inline distT="0" distB="0" distL="0" distR="0" wp14:anchorId="025FF028" wp14:editId="358CEFCB">
            <wp:extent cx="5105400" cy="4143375"/>
            <wp:effectExtent l="0" t="0" r="0" b="0"/>
            <wp:docPr id="1799334668" name="Wykres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958278" w14:textId="5BC2C373" w:rsidR="001676E4" w:rsidRPr="00317DE2" w:rsidRDefault="001676E4" w:rsidP="001676E4">
      <w:pPr>
        <w:spacing w:after="0" w:line="360" w:lineRule="auto"/>
        <w:jc w:val="both"/>
        <w:rPr>
          <w:rFonts w:cs="Arial"/>
          <w:sz w:val="22"/>
          <w:szCs w:val="22"/>
        </w:rPr>
      </w:pPr>
      <w:r w:rsidRPr="00317DE2">
        <w:rPr>
          <w:rFonts w:cs="Arial"/>
          <w:sz w:val="22"/>
          <w:szCs w:val="22"/>
        </w:rPr>
        <w:lastRenderedPageBreak/>
        <w:t>Wykres nr 1</w:t>
      </w:r>
      <w:r w:rsidR="00295756">
        <w:rPr>
          <w:rFonts w:cs="Arial"/>
          <w:sz w:val="22"/>
          <w:szCs w:val="22"/>
        </w:rPr>
        <w:t>2</w:t>
      </w:r>
      <w:r w:rsidRPr="00317DE2">
        <w:rPr>
          <w:rFonts w:cs="Arial"/>
          <w:sz w:val="22"/>
          <w:szCs w:val="22"/>
        </w:rPr>
        <w:t xml:space="preserve"> przedstawia dane dotyczące używania substancji psychoaktywnych przez respondentów w różnych okresach: </w:t>
      </w:r>
      <w:r w:rsidRPr="00317DE2">
        <w:rPr>
          <w:rFonts w:cs="Arial"/>
          <w:bCs/>
          <w:sz w:val="22"/>
          <w:szCs w:val="22"/>
        </w:rPr>
        <w:t>kiedykolwiek w życiu</w:t>
      </w:r>
      <w:r w:rsidRPr="00317DE2">
        <w:rPr>
          <w:rFonts w:cs="Arial"/>
          <w:sz w:val="22"/>
          <w:szCs w:val="22"/>
        </w:rPr>
        <w:t xml:space="preserve">, </w:t>
      </w:r>
      <w:r w:rsidRPr="00317DE2">
        <w:rPr>
          <w:rFonts w:cs="Arial"/>
          <w:bCs/>
          <w:sz w:val="22"/>
          <w:szCs w:val="22"/>
        </w:rPr>
        <w:t xml:space="preserve">w ciągu ostatnich 12 miesięcy </w:t>
      </w:r>
      <w:r w:rsidRPr="00317DE2">
        <w:rPr>
          <w:rFonts w:cs="Arial"/>
          <w:sz w:val="22"/>
          <w:szCs w:val="22"/>
        </w:rPr>
        <w:t xml:space="preserve"> oraz </w:t>
      </w:r>
      <w:r w:rsidRPr="00317DE2">
        <w:rPr>
          <w:rFonts w:cs="Arial"/>
          <w:bCs/>
          <w:sz w:val="22"/>
          <w:szCs w:val="22"/>
        </w:rPr>
        <w:t>w ciągu ostatnich 30 dni</w:t>
      </w:r>
      <w:r w:rsidRPr="00317DE2">
        <w:rPr>
          <w:rFonts w:cs="Arial"/>
          <w:sz w:val="22"/>
          <w:szCs w:val="22"/>
        </w:rPr>
        <w:t>.</w:t>
      </w:r>
    </w:p>
    <w:p w14:paraId="32BB1979" w14:textId="77777777" w:rsidR="001676E4" w:rsidRPr="005952CC" w:rsidRDefault="001676E4" w:rsidP="001676E4">
      <w:pPr>
        <w:spacing w:after="0" w:line="360" w:lineRule="auto"/>
        <w:jc w:val="both"/>
        <w:rPr>
          <w:rFonts w:cs="Arial"/>
          <w:sz w:val="22"/>
          <w:szCs w:val="22"/>
        </w:rPr>
      </w:pPr>
      <w:r w:rsidRPr="005952CC">
        <w:rPr>
          <w:rFonts w:cs="Arial"/>
          <w:sz w:val="22"/>
          <w:szCs w:val="22"/>
        </w:rPr>
        <w:t>Najwyższy poziom użycia wśród analizowanych substancji odnotowano dla:</w:t>
      </w:r>
    </w:p>
    <w:p w14:paraId="4ECD15BE" w14:textId="77777777" w:rsidR="001676E4" w:rsidRPr="005952CC" w:rsidRDefault="001676E4" w:rsidP="001676E4">
      <w:pPr>
        <w:numPr>
          <w:ilvl w:val="0"/>
          <w:numId w:val="40"/>
        </w:numPr>
        <w:spacing w:after="0" w:line="360" w:lineRule="auto"/>
        <w:jc w:val="both"/>
        <w:rPr>
          <w:rFonts w:cs="Arial"/>
          <w:sz w:val="22"/>
          <w:szCs w:val="22"/>
        </w:rPr>
      </w:pPr>
      <w:r w:rsidRPr="005952CC">
        <w:rPr>
          <w:rFonts w:cs="Arial"/>
          <w:sz w:val="22"/>
          <w:szCs w:val="22"/>
        </w:rPr>
        <w:t>LSD/halucynogenów – 5,9% badanych przyznało, że używało ich kiedykolwiek w życiu, 2,9% w ciągu 12 miesięcy, a 1,3% w ciągu ostatnich 30 dni.</w:t>
      </w:r>
    </w:p>
    <w:p w14:paraId="2CC7EB3F" w14:textId="77777777" w:rsidR="001676E4" w:rsidRPr="005952CC" w:rsidRDefault="001676E4" w:rsidP="001676E4">
      <w:pPr>
        <w:numPr>
          <w:ilvl w:val="0"/>
          <w:numId w:val="40"/>
        </w:numPr>
        <w:spacing w:after="0" w:line="360" w:lineRule="auto"/>
        <w:jc w:val="both"/>
        <w:rPr>
          <w:rFonts w:cs="Arial"/>
          <w:sz w:val="22"/>
          <w:szCs w:val="22"/>
        </w:rPr>
      </w:pPr>
      <w:r w:rsidRPr="005952CC">
        <w:rPr>
          <w:rFonts w:cs="Arial"/>
          <w:sz w:val="22"/>
          <w:szCs w:val="22"/>
        </w:rPr>
        <w:t>Dopalacze – 4,3% badanych stosowało je kiedykolwiek 2,9% w ostatnim roku, a 1,6% w ostatnim miesiącu.</w:t>
      </w:r>
    </w:p>
    <w:p w14:paraId="0C98A5D5" w14:textId="77777777" w:rsidR="001676E4" w:rsidRPr="005952CC" w:rsidRDefault="001676E4" w:rsidP="001676E4">
      <w:pPr>
        <w:numPr>
          <w:ilvl w:val="0"/>
          <w:numId w:val="40"/>
        </w:numPr>
        <w:spacing w:after="0" w:line="360" w:lineRule="auto"/>
        <w:jc w:val="both"/>
        <w:rPr>
          <w:rFonts w:cs="Arial"/>
          <w:sz w:val="22"/>
          <w:szCs w:val="22"/>
        </w:rPr>
      </w:pPr>
      <w:r w:rsidRPr="005952CC">
        <w:rPr>
          <w:rFonts w:cs="Arial"/>
          <w:sz w:val="22"/>
          <w:szCs w:val="22"/>
        </w:rPr>
        <w:t>Sterydy - 3,8% badanych stosowało je kiedykolwiek 2,3% w ostatnim roku, a 2,0% w ostatnim miesiącu.</w:t>
      </w:r>
    </w:p>
    <w:p w14:paraId="571E9CF7" w14:textId="77777777" w:rsidR="001676E4" w:rsidRPr="005952CC" w:rsidRDefault="001676E4" w:rsidP="001676E4">
      <w:pPr>
        <w:spacing w:after="0" w:line="360" w:lineRule="auto"/>
        <w:jc w:val="both"/>
        <w:rPr>
          <w:rFonts w:cs="Arial"/>
          <w:sz w:val="22"/>
          <w:szCs w:val="22"/>
        </w:rPr>
      </w:pPr>
      <w:r w:rsidRPr="005952CC">
        <w:rPr>
          <w:rFonts w:cs="Arial"/>
          <w:sz w:val="22"/>
          <w:szCs w:val="22"/>
        </w:rPr>
        <w:t>Wysokie wartości w kategorii „kiedykolwiek” osiągają również:</w:t>
      </w:r>
    </w:p>
    <w:p w14:paraId="4C789F99" w14:textId="77777777" w:rsidR="001676E4" w:rsidRPr="005952CC" w:rsidRDefault="001676E4" w:rsidP="001676E4">
      <w:pPr>
        <w:numPr>
          <w:ilvl w:val="0"/>
          <w:numId w:val="41"/>
        </w:numPr>
        <w:spacing w:after="0" w:line="360" w:lineRule="auto"/>
        <w:jc w:val="both"/>
        <w:rPr>
          <w:rFonts w:cs="Arial"/>
          <w:sz w:val="22"/>
          <w:szCs w:val="22"/>
        </w:rPr>
      </w:pPr>
      <w:proofErr w:type="spellStart"/>
      <w:r w:rsidRPr="005952CC">
        <w:rPr>
          <w:rFonts w:cs="Arial"/>
          <w:sz w:val="22"/>
          <w:szCs w:val="22"/>
        </w:rPr>
        <w:t>Ecstazy</w:t>
      </w:r>
      <w:proofErr w:type="spellEnd"/>
      <w:r w:rsidRPr="005952CC">
        <w:rPr>
          <w:rFonts w:cs="Arial"/>
          <w:sz w:val="22"/>
          <w:szCs w:val="22"/>
        </w:rPr>
        <w:t xml:space="preserve"> – 2,8% badanych stosowało ją kiedykolwiek, 2,2% w ostatnim roku</w:t>
      </w:r>
      <w:r>
        <w:rPr>
          <w:rFonts w:cs="Arial"/>
          <w:sz w:val="22"/>
          <w:szCs w:val="22"/>
        </w:rPr>
        <w:t xml:space="preserve">, </w:t>
      </w:r>
      <w:r w:rsidRPr="005952CC">
        <w:rPr>
          <w:rFonts w:cs="Arial"/>
          <w:sz w:val="22"/>
          <w:szCs w:val="22"/>
        </w:rPr>
        <w:t>a 1,9% w ostatnim miesiącu.</w:t>
      </w:r>
    </w:p>
    <w:p w14:paraId="4A8F91B0" w14:textId="77777777" w:rsidR="001676E4" w:rsidRPr="005952CC" w:rsidRDefault="001676E4" w:rsidP="001676E4">
      <w:pPr>
        <w:numPr>
          <w:ilvl w:val="0"/>
          <w:numId w:val="41"/>
        </w:numPr>
        <w:spacing w:after="0" w:line="360" w:lineRule="auto"/>
        <w:jc w:val="both"/>
        <w:rPr>
          <w:rFonts w:cs="Arial"/>
          <w:sz w:val="22"/>
          <w:szCs w:val="22"/>
        </w:rPr>
      </w:pPr>
      <w:r w:rsidRPr="005952CC">
        <w:rPr>
          <w:rFonts w:cs="Arial"/>
          <w:sz w:val="22"/>
          <w:szCs w:val="22"/>
        </w:rPr>
        <w:t>Amfetamina – 2,9% badanych stosowało ją kiedykolwiek, 2,1% w ostatnim roku, a 2% w ostatnim miesiącu.</w:t>
      </w:r>
    </w:p>
    <w:p w14:paraId="00D4F65E" w14:textId="77777777" w:rsidR="001676E4" w:rsidRPr="005952CC" w:rsidRDefault="001676E4" w:rsidP="001676E4">
      <w:pPr>
        <w:numPr>
          <w:ilvl w:val="0"/>
          <w:numId w:val="41"/>
        </w:numPr>
        <w:spacing w:after="0" w:line="360" w:lineRule="auto"/>
        <w:jc w:val="both"/>
        <w:rPr>
          <w:rFonts w:cs="Arial"/>
          <w:sz w:val="22"/>
          <w:szCs w:val="22"/>
        </w:rPr>
      </w:pPr>
      <w:r w:rsidRPr="005952CC">
        <w:rPr>
          <w:rFonts w:cs="Arial"/>
          <w:sz w:val="22"/>
          <w:szCs w:val="22"/>
        </w:rPr>
        <w:t>Heroina – 2,5% badanych stosowało ją kiedykolwiek, 2,2% w ostatnim roku, a 1,5% w ostatnim miesiącu.</w:t>
      </w:r>
    </w:p>
    <w:p w14:paraId="04FC1712" w14:textId="77777777" w:rsidR="001676E4" w:rsidRPr="005952CC" w:rsidRDefault="001676E4" w:rsidP="001676E4">
      <w:pPr>
        <w:numPr>
          <w:ilvl w:val="0"/>
          <w:numId w:val="41"/>
        </w:numPr>
        <w:spacing w:after="0" w:line="360" w:lineRule="auto"/>
        <w:jc w:val="both"/>
        <w:rPr>
          <w:rFonts w:cs="Arial"/>
          <w:sz w:val="22"/>
          <w:szCs w:val="22"/>
        </w:rPr>
      </w:pPr>
      <w:r w:rsidRPr="005952CC">
        <w:rPr>
          <w:rFonts w:cs="Arial"/>
          <w:sz w:val="22"/>
          <w:szCs w:val="22"/>
        </w:rPr>
        <w:t>Kokaina – 2,1% badanych stosowało ją kiedykolwiek, 2% w ostatnim roku, a 1,2% w ostatnim miesiącu.</w:t>
      </w:r>
    </w:p>
    <w:p w14:paraId="560DB361" w14:textId="77777777" w:rsidR="001676E4" w:rsidRPr="005952CC" w:rsidRDefault="001676E4" w:rsidP="001676E4">
      <w:pPr>
        <w:spacing w:after="0" w:line="360" w:lineRule="auto"/>
        <w:jc w:val="both"/>
        <w:rPr>
          <w:rFonts w:cs="Arial"/>
          <w:sz w:val="22"/>
          <w:szCs w:val="22"/>
        </w:rPr>
      </w:pPr>
      <w:r w:rsidRPr="005952CC">
        <w:rPr>
          <w:rFonts w:cs="Arial"/>
          <w:sz w:val="22"/>
          <w:szCs w:val="22"/>
        </w:rPr>
        <w:t>Najrzadziej używane substancje to:</w:t>
      </w:r>
    </w:p>
    <w:p w14:paraId="66A76B28" w14:textId="77777777" w:rsidR="001676E4" w:rsidRPr="005952CC" w:rsidRDefault="001676E4" w:rsidP="001676E4">
      <w:pPr>
        <w:numPr>
          <w:ilvl w:val="0"/>
          <w:numId w:val="42"/>
        </w:numPr>
        <w:spacing w:after="0" w:line="360" w:lineRule="auto"/>
        <w:jc w:val="both"/>
        <w:rPr>
          <w:rFonts w:cs="Arial"/>
          <w:sz w:val="22"/>
          <w:szCs w:val="22"/>
        </w:rPr>
      </w:pPr>
      <w:r w:rsidRPr="005952CC">
        <w:rPr>
          <w:rFonts w:cs="Arial"/>
          <w:sz w:val="22"/>
          <w:szCs w:val="22"/>
        </w:rPr>
        <w:t>GHB – tylko 1% badanych używało jej kiedykolwiek, 0,2% w ciągu 12 miesięcy i 0,2% w ciągu 30 dni.</w:t>
      </w:r>
    </w:p>
    <w:p w14:paraId="3FC6D318" w14:textId="77777777" w:rsidR="001676E4" w:rsidRPr="005952CC" w:rsidRDefault="001676E4" w:rsidP="001676E4">
      <w:pPr>
        <w:numPr>
          <w:ilvl w:val="0"/>
          <w:numId w:val="42"/>
        </w:numPr>
        <w:spacing w:after="0" w:line="360" w:lineRule="auto"/>
        <w:jc w:val="both"/>
        <w:rPr>
          <w:rFonts w:cs="Arial"/>
          <w:sz w:val="22"/>
          <w:szCs w:val="22"/>
        </w:rPr>
      </w:pPr>
      <w:r w:rsidRPr="005952CC">
        <w:rPr>
          <w:rFonts w:cs="Arial"/>
          <w:sz w:val="22"/>
          <w:szCs w:val="22"/>
        </w:rPr>
        <w:t>Środki zażywane w formie iniekcji (np. dożylnie) – 0,9% kiedykolwiek, 0,1% w ciągu roku, 0% w ostatnich 30 dniach.</w:t>
      </w:r>
    </w:p>
    <w:p w14:paraId="2FE9F37B" w14:textId="1D995EF8" w:rsidR="001676E4" w:rsidRPr="00317DE2" w:rsidRDefault="001676E4" w:rsidP="00904284">
      <w:pPr>
        <w:spacing w:after="0" w:line="360" w:lineRule="auto"/>
        <w:jc w:val="both"/>
        <w:rPr>
          <w:rFonts w:cs="Arial"/>
          <w:sz w:val="22"/>
          <w:szCs w:val="22"/>
        </w:rPr>
      </w:pPr>
      <w:r w:rsidRPr="00317DE2">
        <w:rPr>
          <w:rFonts w:cs="Arial"/>
          <w:sz w:val="22"/>
          <w:szCs w:val="22"/>
        </w:rPr>
        <w:t>Choć ogólna liczba użytkowników substancji psychoaktywnych pozostaje relatywnie niska, szczególnie w kontekście ostatniego miesiąca, niektóre środki (jak środki halucynogenne, dopalacze i sterydy) wykazują stosunkowo wysoki poziom aktualnego użycia</w:t>
      </w:r>
      <w:r w:rsidR="00FF1107">
        <w:rPr>
          <w:rFonts w:cs="Arial"/>
          <w:sz w:val="22"/>
          <w:szCs w:val="22"/>
        </w:rPr>
        <w:t xml:space="preserve">. </w:t>
      </w:r>
      <w:r w:rsidRPr="00317DE2">
        <w:rPr>
          <w:rFonts w:cs="Arial"/>
          <w:sz w:val="22"/>
          <w:szCs w:val="22"/>
        </w:rPr>
        <w:t>Nasilenie użycia w ostatnich 30 dniach wskazuje na tendencję do regularności w przypadku konkretnych substancji, co może stanowić podstawę do dalszych badań nad ryzykiem uzależnień.</w:t>
      </w:r>
    </w:p>
    <w:p w14:paraId="3D2E82C9" w14:textId="0B3F098B" w:rsidR="001676E4" w:rsidRPr="0054713D" w:rsidRDefault="001676E4" w:rsidP="001676E4">
      <w:pPr>
        <w:pStyle w:val="Legenda"/>
        <w:keepNext/>
        <w:jc w:val="both"/>
        <w:rPr>
          <w:sz w:val="20"/>
          <w:szCs w:val="16"/>
        </w:rPr>
      </w:pPr>
      <w:bookmarkStart w:id="77" w:name="_Toc214279930"/>
      <w:r w:rsidRPr="0054713D">
        <w:rPr>
          <w:sz w:val="20"/>
          <w:szCs w:val="16"/>
        </w:rPr>
        <w:lastRenderedPageBreak/>
        <w:t xml:space="preserve">Wykres </w:t>
      </w:r>
      <w:r w:rsidR="00C9670E">
        <w:rPr>
          <w:sz w:val="20"/>
          <w:szCs w:val="16"/>
        </w:rPr>
        <w:t>13</w:t>
      </w:r>
      <w:r w:rsidRPr="0054713D">
        <w:rPr>
          <w:sz w:val="20"/>
          <w:szCs w:val="16"/>
        </w:rPr>
        <w:t>. Używanie pozostałych substancji psychoaktywnych</w:t>
      </w:r>
      <w:bookmarkEnd w:id="77"/>
    </w:p>
    <w:p w14:paraId="3C5C2F56" w14:textId="77777777" w:rsidR="001676E4" w:rsidRPr="00317DE2" w:rsidRDefault="001676E4" w:rsidP="001676E4">
      <w:pPr>
        <w:spacing w:line="360" w:lineRule="auto"/>
        <w:jc w:val="both"/>
        <w:rPr>
          <w:rFonts w:cs="Arial"/>
          <w:sz w:val="22"/>
          <w:szCs w:val="22"/>
        </w:rPr>
      </w:pPr>
      <w:r w:rsidRPr="00317DE2">
        <w:rPr>
          <w:rFonts w:cs="Arial"/>
          <w:noProof/>
          <w:sz w:val="22"/>
          <w:szCs w:val="22"/>
        </w:rPr>
        <w:drawing>
          <wp:inline distT="0" distB="0" distL="0" distR="0" wp14:anchorId="7AD8209A" wp14:editId="5067AD54">
            <wp:extent cx="5824220" cy="3081297"/>
            <wp:effectExtent l="0" t="0" r="5080" b="5080"/>
            <wp:docPr id="1501150546" name="Wykres 1">
              <a:extLst xmlns:a="http://schemas.openxmlformats.org/drawingml/2006/main">
                <a:ext uri="{FF2B5EF4-FFF2-40B4-BE49-F238E27FC236}">
                  <a16:creationId xmlns:a16="http://schemas.microsoft.com/office/drawing/2014/main" id="{46B3D806-6025-10A7-C940-F632C0CB1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90D9AC" w14:textId="77777777" w:rsidR="001676E4" w:rsidRPr="00317DE2" w:rsidRDefault="001676E4" w:rsidP="001676E4">
      <w:pPr>
        <w:spacing w:after="0" w:line="360" w:lineRule="auto"/>
        <w:ind w:firstLine="567"/>
        <w:jc w:val="both"/>
        <w:rPr>
          <w:rFonts w:cs="Arial"/>
          <w:sz w:val="22"/>
          <w:szCs w:val="22"/>
        </w:rPr>
      </w:pPr>
      <w:r w:rsidRPr="005952CC">
        <w:rPr>
          <w:rFonts w:cs="Arial"/>
          <w:sz w:val="22"/>
          <w:szCs w:val="22"/>
        </w:rPr>
        <w:t xml:space="preserve">Najczęściej używaną substancją w tej grupie były </w:t>
      </w:r>
      <w:proofErr w:type="spellStart"/>
      <w:r w:rsidRPr="005952CC">
        <w:rPr>
          <w:rStyle w:val="Pogrubienie"/>
          <w:rFonts w:cs="Arial"/>
          <w:b w:val="0"/>
          <w:bCs w:val="0"/>
          <w:sz w:val="22"/>
          <w:szCs w:val="22"/>
        </w:rPr>
        <w:t>benzodiazepiny</w:t>
      </w:r>
      <w:proofErr w:type="spellEnd"/>
      <w:r w:rsidRPr="005952CC">
        <w:rPr>
          <w:rFonts w:cs="Arial"/>
          <w:b/>
          <w:bCs/>
          <w:sz w:val="22"/>
          <w:szCs w:val="22"/>
        </w:rPr>
        <w:t xml:space="preserve"> </w:t>
      </w:r>
      <w:r w:rsidRPr="005952CC">
        <w:rPr>
          <w:rFonts w:cs="Arial"/>
          <w:sz w:val="22"/>
          <w:szCs w:val="22"/>
        </w:rPr>
        <w:t>– 33% badanych</w:t>
      </w:r>
      <w:r w:rsidRPr="00317DE2">
        <w:rPr>
          <w:rFonts w:cs="Arial"/>
          <w:sz w:val="22"/>
          <w:szCs w:val="22"/>
        </w:rPr>
        <w:t xml:space="preserve"> zadeklarowało ich użycie kiedykolwiek, 24% w ciągu ostatnich 12 miesięcy, a 15% w ciągu ostatnich 30 dni. To zdecydowanie najwyższy poziom użycia spośród wszystkich analizowanych substancji na wykresie.</w:t>
      </w:r>
    </w:p>
    <w:p w14:paraId="4AFB76BF" w14:textId="77777777" w:rsidR="001676E4" w:rsidRPr="005952CC" w:rsidRDefault="001676E4" w:rsidP="001676E4">
      <w:pPr>
        <w:spacing w:after="0" w:line="360" w:lineRule="auto"/>
        <w:ind w:firstLine="567"/>
        <w:jc w:val="both"/>
        <w:rPr>
          <w:rFonts w:cs="Arial"/>
          <w:sz w:val="22"/>
          <w:szCs w:val="22"/>
        </w:rPr>
      </w:pPr>
      <w:r w:rsidRPr="005952CC">
        <w:rPr>
          <w:rFonts w:cs="Arial"/>
          <w:sz w:val="22"/>
          <w:szCs w:val="22"/>
        </w:rPr>
        <w:t xml:space="preserve">Na drugim miejscu znalazł się </w:t>
      </w:r>
      <w:proofErr w:type="spellStart"/>
      <w:r w:rsidRPr="005952CC">
        <w:rPr>
          <w:rStyle w:val="Pogrubienie"/>
          <w:rFonts w:cs="Arial"/>
          <w:b w:val="0"/>
          <w:bCs w:val="0"/>
          <w:sz w:val="22"/>
          <w:szCs w:val="22"/>
        </w:rPr>
        <w:t>mefedron</w:t>
      </w:r>
      <w:proofErr w:type="spellEnd"/>
      <w:r w:rsidRPr="005952CC">
        <w:rPr>
          <w:rFonts w:cs="Arial"/>
          <w:sz w:val="22"/>
          <w:szCs w:val="22"/>
        </w:rPr>
        <w:t xml:space="preserve"> – 12,4% respondentów używało go kiedyś, 5,3% w ostatnich 12 miesiącach, a 2,8% w ostatnich 30 dniach. Podobne wartości odnotowano dla </w:t>
      </w:r>
      <w:r w:rsidRPr="005952CC">
        <w:rPr>
          <w:rStyle w:val="Pogrubienie"/>
          <w:rFonts w:cs="Arial"/>
          <w:b w:val="0"/>
          <w:bCs w:val="0"/>
          <w:sz w:val="22"/>
          <w:szCs w:val="22"/>
        </w:rPr>
        <w:t>substancji wziewnych</w:t>
      </w:r>
      <w:r w:rsidRPr="005952CC">
        <w:rPr>
          <w:rFonts w:cs="Arial"/>
          <w:sz w:val="22"/>
          <w:szCs w:val="22"/>
        </w:rPr>
        <w:t xml:space="preserve"> (np. rozpuszczalników) – 14% kiedykolwiek, 2,1% w ostatnim roku, 0,8% w ostatnim miesiącu.</w:t>
      </w:r>
    </w:p>
    <w:p w14:paraId="2C07605E" w14:textId="77777777" w:rsidR="001676E4" w:rsidRPr="005952CC" w:rsidRDefault="001676E4" w:rsidP="001676E4">
      <w:pPr>
        <w:spacing w:after="0" w:line="360" w:lineRule="auto"/>
        <w:ind w:firstLine="567"/>
        <w:jc w:val="both"/>
        <w:rPr>
          <w:rFonts w:cs="Arial"/>
          <w:sz w:val="22"/>
          <w:szCs w:val="22"/>
        </w:rPr>
      </w:pPr>
      <w:r w:rsidRPr="005952CC">
        <w:rPr>
          <w:rStyle w:val="Pogrubienie"/>
          <w:rFonts w:cs="Arial"/>
          <w:b w:val="0"/>
          <w:bCs w:val="0"/>
          <w:sz w:val="22"/>
          <w:szCs w:val="22"/>
        </w:rPr>
        <w:t>Kodeina</w:t>
      </w:r>
      <w:r w:rsidRPr="005952CC">
        <w:rPr>
          <w:rFonts w:cs="Arial"/>
          <w:sz w:val="22"/>
          <w:szCs w:val="22"/>
        </w:rPr>
        <w:t xml:space="preserve"> była używana przez 9,4% osób kiedykolwiek, 3,3% w ciągu roku, a 1,2% w ostatnim miesiącu. </w:t>
      </w:r>
      <w:r w:rsidRPr="005952CC">
        <w:rPr>
          <w:rStyle w:val="Pogrubienie"/>
          <w:rFonts w:cs="Arial"/>
          <w:b w:val="0"/>
          <w:bCs w:val="0"/>
          <w:sz w:val="22"/>
          <w:szCs w:val="22"/>
        </w:rPr>
        <w:t>Metadon</w:t>
      </w:r>
      <w:r w:rsidRPr="005952CC">
        <w:rPr>
          <w:rFonts w:cs="Arial"/>
          <w:sz w:val="22"/>
          <w:szCs w:val="22"/>
        </w:rPr>
        <w:t xml:space="preserve"> i </w:t>
      </w:r>
      <w:proofErr w:type="spellStart"/>
      <w:r w:rsidRPr="005952CC">
        <w:rPr>
          <w:rStyle w:val="Pogrubienie"/>
          <w:rFonts w:cs="Arial"/>
          <w:b w:val="0"/>
          <w:bCs w:val="0"/>
          <w:sz w:val="22"/>
          <w:szCs w:val="22"/>
        </w:rPr>
        <w:t>dezomorfina</w:t>
      </w:r>
      <w:proofErr w:type="spellEnd"/>
      <w:r w:rsidRPr="005952CC">
        <w:rPr>
          <w:rFonts w:cs="Arial"/>
          <w:sz w:val="22"/>
          <w:szCs w:val="22"/>
        </w:rPr>
        <w:t xml:space="preserve"> uzyskały znacznie niższe wartości – odpowiednio 3,5% i 1,5% „kiedykolwiek w życiu”.</w:t>
      </w:r>
    </w:p>
    <w:p w14:paraId="3208CDF7" w14:textId="77777777" w:rsidR="001676E4" w:rsidRPr="005952CC" w:rsidRDefault="001676E4" w:rsidP="001676E4">
      <w:pPr>
        <w:spacing w:after="0" w:line="360" w:lineRule="auto"/>
        <w:ind w:firstLine="567"/>
        <w:jc w:val="both"/>
        <w:rPr>
          <w:rFonts w:cs="Arial"/>
          <w:sz w:val="22"/>
          <w:szCs w:val="22"/>
        </w:rPr>
      </w:pPr>
      <w:r w:rsidRPr="005952CC">
        <w:rPr>
          <w:rFonts w:cs="Arial"/>
          <w:sz w:val="22"/>
          <w:szCs w:val="22"/>
        </w:rPr>
        <w:t xml:space="preserve">Najniższy poziom użycia odnotowano dla </w:t>
      </w:r>
      <w:r w:rsidRPr="005952CC">
        <w:rPr>
          <w:rStyle w:val="Pogrubienie"/>
          <w:rFonts w:cs="Arial"/>
          <w:b w:val="0"/>
          <w:bCs w:val="0"/>
          <w:sz w:val="22"/>
          <w:szCs w:val="22"/>
        </w:rPr>
        <w:t>fentanylu</w:t>
      </w:r>
      <w:r w:rsidRPr="005952CC">
        <w:rPr>
          <w:rFonts w:cs="Arial"/>
          <w:sz w:val="22"/>
          <w:szCs w:val="22"/>
        </w:rPr>
        <w:t xml:space="preserve"> – tylko 1,3% respondentów używało go kiedyś, a zaledwie 0,3% w ciągu ostatniego roku i miesiąca.</w:t>
      </w:r>
    </w:p>
    <w:p w14:paraId="16D25214" w14:textId="77777777" w:rsidR="001676E4" w:rsidRPr="005952CC" w:rsidRDefault="001676E4" w:rsidP="001676E4">
      <w:pPr>
        <w:numPr>
          <w:ilvl w:val="0"/>
          <w:numId w:val="44"/>
        </w:numPr>
        <w:spacing w:after="0" w:line="360" w:lineRule="auto"/>
        <w:jc w:val="both"/>
        <w:rPr>
          <w:rFonts w:cs="Arial"/>
          <w:sz w:val="22"/>
          <w:szCs w:val="22"/>
        </w:rPr>
      </w:pPr>
      <w:proofErr w:type="spellStart"/>
      <w:r w:rsidRPr="005952CC">
        <w:rPr>
          <w:rStyle w:val="Pogrubienie"/>
          <w:rFonts w:cs="Arial"/>
          <w:b w:val="0"/>
          <w:bCs w:val="0"/>
          <w:sz w:val="22"/>
          <w:szCs w:val="22"/>
        </w:rPr>
        <w:t>Benzodiazepiny</w:t>
      </w:r>
      <w:proofErr w:type="spellEnd"/>
      <w:r w:rsidRPr="005952CC">
        <w:rPr>
          <w:rFonts w:cs="Arial"/>
          <w:sz w:val="22"/>
          <w:szCs w:val="22"/>
        </w:rPr>
        <w:t xml:space="preserve"> są zdecydowanie najczęściej stosowaną substancją w tej grupie, także w ujęciu bieżącym.</w:t>
      </w:r>
    </w:p>
    <w:p w14:paraId="1DA37879" w14:textId="77777777" w:rsidR="001676E4" w:rsidRPr="005952CC" w:rsidRDefault="001676E4" w:rsidP="001676E4">
      <w:pPr>
        <w:numPr>
          <w:ilvl w:val="0"/>
          <w:numId w:val="44"/>
        </w:numPr>
        <w:spacing w:after="0" w:line="360" w:lineRule="auto"/>
        <w:jc w:val="both"/>
        <w:rPr>
          <w:rFonts w:cs="Arial"/>
          <w:sz w:val="22"/>
          <w:szCs w:val="22"/>
        </w:rPr>
      </w:pPr>
      <w:r w:rsidRPr="005952CC">
        <w:rPr>
          <w:rFonts w:cs="Arial"/>
          <w:sz w:val="22"/>
          <w:szCs w:val="22"/>
        </w:rPr>
        <w:t>Pozostałe substancje (</w:t>
      </w:r>
      <w:proofErr w:type="spellStart"/>
      <w:r w:rsidRPr="005952CC">
        <w:rPr>
          <w:rFonts w:cs="Arial"/>
          <w:sz w:val="22"/>
          <w:szCs w:val="22"/>
        </w:rPr>
        <w:t>mefedron</w:t>
      </w:r>
      <w:proofErr w:type="spellEnd"/>
      <w:r w:rsidRPr="005952CC">
        <w:rPr>
          <w:rFonts w:cs="Arial"/>
          <w:sz w:val="22"/>
          <w:szCs w:val="22"/>
        </w:rPr>
        <w:t>, kodeina, substancje wziewne) są używane rzadziej, ale wciąż w zauważalnym stopniu.</w:t>
      </w:r>
    </w:p>
    <w:p w14:paraId="23517E12" w14:textId="77777777" w:rsidR="001676E4" w:rsidRPr="00317DE2" w:rsidRDefault="001676E4" w:rsidP="001676E4">
      <w:pPr>
        <w:numPr>
          <w:ilvl w:val="0"/>
          <w:numId w:val="44"/>
        </w:numPr>
        <w:spacing w:after="0" w:line="360" w:lineRule="auto"/>
        <w:jc w:val="both"/>
        <w:rPr>
          <w:rFonts w:cs="Arial"/>
          <w:sz w:val="22"/>
          <w:szCs w:val="22"/>
        </w:rPr>
      </w:pPr>
      <w:r w:rsidRPr="00317DE2">
        <w:rPr>
          <w:rFonts w:cs="Arial"/>
          <w:sz w:val="22"/>
          <w:szCs w:val="22"/>
        </w:rPr>
        <w:t xml:space="preserve">Substancje silnie uzależniające i niebezpieczne, takie jak fentanyl czy </w:t>
      </w:r>
      <w:proofErr w:type="spellStart"/>
      <w:r w:rsidRPr="00317DE2">
        <w:rPr>
          <w:rFonts w:cs="Arial"/>
          <w:sz w:val="22"/>
          <w:szCs w:val="22"/>
        </w:rPr>
        <w:t>dezomorfina</w:t>
      </w:r>
      <w:proofErr w:type="spellEnd"/>
      <w:r w:rsidRPr="00317DE2">
        <w:rPr>
          <w:rFonts w:cs="Arial"/>
          <w:sz w:val="22"/>
          <w:szCs w:val="22"/>
        </w:rPr>
        <w:t>, mają bardzo niską deklarowaną częstość użycia, co może wynikać zarówno z ich ograniczonej dostępności, jak i większej świadomości ryzyka.</w:t>
      </w:r>
    </w:p>
    <w:p w14:paraId="085E304A" w14:textId="77777777" w:rsidR="001676E4" w:rsidRPr="00317DE2" w:rsidRDefault="001676E4" w:rsidP="00A43860">
      <w:pPr>
        <w:pStyle w:val="Nagwek3"/>
      </w:pPr>
      <w:bookmarkStart w:id="78" w:name="_Toc198471471"/>
      <w:bookmarkStart w:id="79" w:name="_Toc214277562"/>
      <w:r w:rsidRPr="00317DE2">
        <w:lastRenderedPageBreak/>
        <w:t xml:space="preserve">Inicjowanie używania </w:t>
      </w:r>
      <w:r w:rsidRPr="00A43860">
        <w:t>substancji</w:t>
      </w:r>
      <w:r w:rsidRPr="00317DE2">
        <w:t xml:space="preserve"> psychoaktywnych.</w:t>
      </w:r>
      <w:bookmarkEnd w:id="78"/>
      <w:bookmarkEnd w:id="79"/>
    </w:p>
    <w:p w14:paraId="206F3FC1" w14:textId="77777777" w:rsidR="001676E4" w:rsidRPr="00317DE2" w:rsidRDefault="001676E4" w:rsidP="001676E4">
      <w:pPr>
        <w:spacing w:after="0" w:line="360" w:lineRule="auto"/>
        <w:jc w:val="both"/>
        <w:rPr>
          <w:rFonts w:cs="Arial"/>
          <w:sz w:val="22"/>
          <w:szCs w:val="22"/>
        </w:rPr>
      </w:pPr>
      <w:r w:rsidRPr="00317DE2">
        <w:rPr>
          <w:rFonts w:cs="Arial"/>
          <w:sz w:val="22"/>
          <w:szCs w:val="22"/>
        </w:rPr>
        <w:t xml:space="preserve">     Wiek inicjowania używania substancji psychoaktywnych jest informacją niezbędną do prawidłowego planowania odziaływań profilaktycznych, jak również prowadzenia skutecznej interwencji medycznej.</w:t>
      </w:r>
    </w:p>
    <w:p w14:paraId="66EDA3C8" w14:textId="43C92C21" w:rsidR="001676E4" w:rsidRPr="0054713D" w:rsidRDefault="001676E4" w:rsidP="001676E4">
      <w:pPr>
        <w:pStyle w:val="Legenda"/>
        <w:keepNext/>
        <w:jc w:val="both"/>
        <w:rPr>
          <w:sz w:val="20"/>
          <w:szCs w:val="16"/>
        </w:rPr>
      </w:pPr>
      <w:bookmarkStart w:id="80" w:name="_Toc214279931"/>
      <w:r w:rsidRPr="0054713D">
        <w:rPr>
          <w:sz w:val="20"/>
          <w:szCs w:val="16"/>
        </w:rPr>
        <w:t xml:space="preserve">Wykres </w:t>
      </w:r>
      <w:r w:rsidR="00C9670E">
        <w:rPr>
          <w:sz w:val="20"/>
          <w:szCs w:val="16"/>
        </w:rPr>
        <w:t>14</w:t>
      </w:r>
      <w:r w:rsidRPr="0054713D">
        <w:rPr>
          <w:sz w:val="20"/>
          <w:szCs w:val="16"/>
        </w:rPr>
        <w:t>. Wiek inicjacji poszczególnych substancji psychoaktywnych</w:t>
      </w:r>
      <w:bookmarkEnd w:id="80"/>
    </w:p>
    <w:p w14:paraId="45B1133C" w14:textId="77777777" w:rsidR="001676E4" w:rsidRPr="00317DE2" w:rsidRDefault="001676E4" w:rsidP="001676E4">
      <w:pPr>
        <w:jc w:val="both"/>
        <w:rPr>
          <w:rFonts w:cs="Arial"/>
          <w:noProof/>
          <w:sz w:val="22"/>
          <w:szCs w:val="22"/>
        </w:rPr>
      </w:pPr>
      <w:r w:rsidRPr="00317DE2">
        <w:rPr>
          <w:rFonts w:cs="Arial"/>
          <w:noProof/>
          <w:sz w:val="22"/>
          <w:szCs w:val="22"/>
        </w:rPr>
        <w:drawing>
          <wp:inline distT="0" distB="0" distL="0" distR="0" wp14:anchorId="3471533F" wp14:editId="7A9368A8">
            <wp:extent cx="5760720" cy="5136777"/>
            <wp:effectExtent l="0" t="0" r="0" b="6985"/>
            <wp:docPr id="1940995182" name="Wykres 1">
              <a:extLst xmlns:a="http://schemas.openxmlformats.org/drawingml/2006/main">
                <a:ext uri="{FF2B5EF4-FFF2-40B4-BE49-F238E27FC236}">
                  <a16:creationId xmlns:a16="http://schemas.microsoft.com/office/drawing/2014/main" id="{DFF65DBD-331E-DD85-BD55-751606E56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3BCDFF" w14:textId="77777777" w:rsidR="001676E4" w:rsidRPr="005952CC" w:rsidRDefault="001676E4" w:rsidP="001676E4">
      <w:pPr>
        <w:spacing w:after="0" w:line="360" w:lineRule="auto"/>
        <w:jc w:val="both"/>
        <w:rPr>
          <w:rFonts w:cs="Arial"/>
          <w:sz w:val="22"/>
          <w:szCs w:val="22"/>
        </w:rPr>
      </w:pPr>
      <w:r w:rsidRPr="005952CC">
        <w:rPr>
          <w:rFonts w:cs="Arial"/>
          <w:sz w:val="22"/>
          <w:szCs w:val="22"/>
        </w:rPr>
        <w:t>Najważniejsze obserwacje:</w:t>
      </w:r>
    </w:p>
    <w:p w14:paraId="525A8A60" w14:textId="77777777" w:rsidR="001676E4" w:rsidRPr="005952CC" w:rsidRDefault="001676E4" w:rsidP="001676E4">
      <w:pPr>
        <w:numPr>
          <w:ilvl w:val="0"/>
          <w:numId w:val="45"/>
        </w:numPr>
        <w:spacing w:after="0" w:line="360" w:lineRule="auto"/>
        <w:ind w:left="714" w:hanging="357"/>
        <w:jc w:val="both"/>
        <w:rPr>
          <w:rFonts w:cs="Arial"/>
          <w:sz w:val="22"/>
          <w:szCs w:val="22"/>
        </w:rPr>
      </w:pPr>
      <w:r w:rsidRPr="005952CC">
        <w:rPr>
          <w:rStyle w:val="Pogrubienie"/>
          <w:rFonts w:cs="Arial"/>
          <w:b w:val="0"/>
          <w:bCs w:val="0"/>
          <w:sz w:val="22"/>
          <w:szCs w:val="22"/>
        </w:rPr>
        <w:t>Najwcześniejsza inicjacja</w:t>
      </w:r>
      <w:r w:rsidRPr="005952CC">
        <w:rPr>
          <w:rFonts w:cs="Arial"/>
          <w:sz w:val="22"/>
          <w:szCs w:val="22"/>
        </w:rPr>
        <w:t xml:space="preserve"> dotyczy:</w:t>
      </w:r>
    </w:p>
    <w:p w14:paraId="767B5D70" w14:textId="77777777" w:rsidR="001676E4" w:rsidRPr="005952CC" w:rsidRDefault="001676E4" w:rsidP="001676E4">
      <w:pPr>
        <w:numPr>
          <w:ilvl w:val="1"/>
          <w:numId w:val="45"/>
        </w:numPr>
        <w:spacing w:before="100" w:beforeAutospacing="1" w:after="100" w:afterAutospacing="1" w:line="360" w:lineRule="auto"/>
        <w:jc w:val="both"/>
        <w:rPr>
          <w:rFonts w:cs="Arial"/>
          <w:sz w:val="22"/>
          <w:szCs w:val="22"/>
        </w:rPr>
      </w:pPr>
      <w:r w:rsidRPr="005952CC">
        <w:rPr>
          <w:rStyle w:val="Pogrubienie"/>
          <w:rFonts w:cs="Arial"/>
          <w:b w:val="0"/>
          <w:bCs w:val="0"/>
          <w:sz w:val="22"/>
          <w:szCs w:val="22"/>
        </w:rPr>
        <w:t>Nikotyny i alkoholu</w:t>
      </w:r>
      <w:r w:rsidRPr="005952CC">
        <w:rPr>
          <w:rFonts w:cs="Arial"/>
          <w:sz w:val="22"/>
          <w:szCs w:val="22"/>
        </w:rPr>
        <w:t xml:space="preserve"> – największy odsetek inicjacji przypada na wiek </w:t>
      </w:r>
      <w:r w:rsidRPr="005952CC">
        <w:rPr>
          <w:rStyle w:val="Pogrubienie"/>
          <w:rFonts w:cs="Arial"/>
          <w:b w:val="0"/>
          <w:bCs w:val="0"/>
          <w:sz w:val="22"/>
          <w:szCs w:val="22"/>
        </w:rPr>
        <w:t>10–15 lat</w:t>
      </w:r>
      <w:r w:rsidRPr="005952CC">
        <w:rPr>
          <w:rFonts w:cs="Arial"/>
          <w:sz w:val="22"/>
          <w:szCs w:val="22"/>
        </w:rPr>
        <w:t xml:space="preserve"> (nikotyna: ok. 60%, alkohol: ok. 30%). Następnie odsetki te gwałtownie maleją z wiekiem.</w:t>
      </w:r>
    </w:p>
    <w:p w14:paraId="75BC8659" w14:textId="77777777" w:rsidR="001676E4" w:rsidRPr="005952CC" w:rsidRDefault="001676E4" w:rsidP="001676E4">
      <w:pPr>
        <w:numPr>
          <w:ilvl w:val="1"/>
          <w:numId w:val="45"/>
        </w:numPr>
        <w:spacing w:before="100" w:beforeAutospacing="1" w:after="100" w:afterAutospacing="1" w:line="360" w:lineRule="auto"/>
        <w:jc w:val="both"/>
        <w:rPr>
          <w:rFonts w:cs="Arial"/>
          <w:sz w:val="22"/>
          <w:szCs w:val="22"/>
        </w:rPr>
      </w:pPr>
      <w:r w:rsidRPr="005952CC">
        <w:rPr>
          <w:rStyle w:val="Pogrubienie"/>
          <w:rFonts w:cs="Arial"/>
          <w:b w:val="0"/>
          <w:bCs w:val="0"/>
          <w:sz w:val="22"/>
          <w:szCs w:val="22"/>
        </w:rPr>
        <w:t>Napoje energetyczne</w:t>
      </w:r>
      <w:r w:rsidRPr="005952CC">
        <w:rPr>
          <w:rFonts w:cs="Arial"/>
          <w:sz w:val="22"/>
          <w:szCs w:val="22"/>
        </w:rPr>
        <w:t xml:space="preserve"> – dominują również w wieku 10–15 lat i spadają z kolejnymi przedziałami.</w:t>
      </w:r>
    </w:p>
    <w:p w14:paraId="5C7AFD7D" w14:textId="77777777" w:rsidR="001676E4" w:rsidRPr="005952CC" w:rsidRDefault="001676E4" w:rsidP="001676E4">
      <w:pPr>
        <w:numPr>
          <w:ilvl w:val="0"/>
          <w:numId w:val="45"/>
        </w:numPr>
        <w:spacing w:before="100" w:beforeAutospacing="1" w:after="100" w:afterAutospacing="1" w:line="360" w:lineRule="auto"/>
        <w:jc w:val="both"/>
        <w:rPr>
          <w:rFonts w:cs="Arial"/>
          <w:sz w:val="22"/>
          <w:szCs w:val="22"/>
        </w:rPr>
      </w:pPr>
      <w:r w:rsidRPr="005952CC">
        <w:rPr>
          <w:rStyle w:val="Pogrubienie"/>
          <w:rFonts w:cs="Arial"/>
          <w:b w:val="0"/>
          <w:bCs w:val="0"/>
          <w:sz w:val="22"/>
          <w:szCs w:val="22"/>
        </w:rPr>
        <w:lastRenderedPageBreak/>
        <w:t xml:space="preserve">Marihuana, dopalacze, </w:t>
      </w:r>
      <w:proofErr w:type="spellStart"/>
      <w:r w:rsidRPr="005952CC">
        <w:rPr>
          <w:rStyle w:val="Pogrubienie"/>
          <w:rFonts w:cs="Arial"/>
          <w:b w:val="0"/>
          <w:bCs w:val="0"/>
          <w:sz w:val="22"/>
          <w:szCs w:val="22"/>
        </w:rPr>
        <w:t>ecstasy</w:t>
      </w:r>
      <w:proofErr w:type="spellEnd"/>
      <w:r w:rsidRPr="005952CC">
        <w:rPr>
          <w:rStyle w:val="Pogrubienie"/>
          <w:rFonts w:cs="Arial"/>
          <w:b w:val="0"/>
          <w:bCs w:val="0"/>
          <w:sz w:val="22"/>
          <w:szCs w:val="22"/>
        </w:rPr>
        <w:t xml:space="preserve">, </w:t>
      </w:r>
      <w:proofErr w:type="spellStart"/>
      <w:r w:rsidRPr="005952CC">
        <w:rPr>
          <w:rStyle w:val="Pogrubienie"/>
          <w:rFonts w:cs="Arial"/>
          <w:b w:val="0"/>
          <w:bCs w:val="0"/>
          <w:sz w:val="22"/>
          <w:szCs w:val="22"/>
        </w:rPr>
        <w:t>mefedron</w:t>
      </w:r>
      <w:proofErr w:type="spellEnd"/>
      <w:r w:rsidRPr="005952CC">
        <w:rPr>
          <w:rFonts w:cs="Arial"/>
          <w:sz w:val="22"/>
          <w:szCs w:val="22"/>
        </w:rPr>
        <w:t xml:space="preserve"> – najczęściej po raz pierwszy używane są w wieku </w:t>
      </w:r>
      <w:r w:rsidRPr="005952CC">
        <w:rPr>
          <w:rStyle w:val="Pogrubienie"/>
          <w:rFonts w:cs="Arial"/>
          <w:b w:val="0"/>
          <w:bCs w:val="0"/>
          <w:sz w:val="22"/>
          <w:szCs w:val="22"/>
        </w:rPr>
        <w:t>16–20 lat</w:t>
      </w:r>
      <w:r w:rsidRPr="005952CC">
        <w:rPr>
          <w:rFonts w:cs="Arial"/>
          <w:sz w:val="22"/>
          <w:szCs w:val="22"/>
        </w:rPr>
        <w:t>, co wskazuje na silną ekspozycję młodzieży starszej i młodych dorosłych na te substancje.</w:t>
      </w:r>
    </w:p>
    <w:p w14:paraId="755B99AC" w14:textId="77777777" w:rsidR="001676E4" w:rsidRPr="005952CC" w:rsidRDefault="001676E4" w:rsidP="001676E4">
      <w:pPr>
        <w:numPr>
          <w:ilvl w:val="0"/>
          <w:numId w:val="45"/>
        </w:numPr>
        <w:spacing w:before="100" w:beforeAutospacing="1" w:after="100" w:afterAutospacing="1" w:line="360" w:lineRule="auto"/>
        <w:jc w:val="both"/>
        <w:rPr>
          <w:rFonts w:cs="Arial"/>
          <w:sz w:val="22"/>
          <w:szCs w:val="22"/>
        </w:rPr>
      </w:pPr>
      <w:r w:rsidRPr="005952CC">
        <w:rPr>
          <w:rStyle w:val="Pogrubienie"/>
          <w:rFonts w:cs="Arial"/>
          <w:b w:val="0"/>
          <w:bCs w:val="0"/>
          <w:sz w:val="22"/>
          <w:szCs w:val="22"/>
        </w:rPr>
        <w:t xml:space="preserve">Kokaina, amfetamina, substancje wziewne, </w:t>
      </w:r>
      <w:proofErr w:type="spellStart"/>
      <w:r w:rsidRPr="005952CC">
        <w:rPr>
          <w:rStyle w:val="Pogrubienie"/>
          <w:rFonts w:cs="Arial"/>
          <w:b w:val="0"/>
          <w:bCs w:val="0"/>
          <w:sz w:val="22"/>
          <w:szCs w:val="22"/>
        </w:rPr>
        <w:t>benzodiazepiny</w:t>
      </w:r>
      <w:proofErr w:type="spellEnd"/>
      <w:r w:rsidRPr="005952CC">
        <w:rPr>
          <w:rStyle w:val="Pogrubienie"/>
          <w:rFonts w:cs="Arial"/>
          <w:b w:val="0"/>
          <w:bCs w:val="0"/>
          <w:sz w:val="22"/>
          <w:szCs w:val="22"/>
        </w:rPr>
        <w:t>, leki w celu odurzenia się</w:t>
      </w:r>
      <w:r w:rsidRPr="005952CC">
        <w:rPr>
          <w:rFonts w:cs="Arial"/>
          <w:sz w:val="22"/>
          <w:szCs w:val="22"/>
        </w:rPr>
        <w:t xml:space="preserve"> – inicjacja najczęściej następuje w wieku </w:t>
      </w:r>
      <w:r w:rsidRPr="005952CC">
        <w:rPr>
          <w:rStyle w:val="Pogrubienie"/>
          <w:rFonts w:cs="Arial"/>
          <w:b w:val="0"/>
          <w:bCs w:val="0"/>
          <w:sz w:val="22"/>
          <w:szCs w:val="22"/>
        </w:rPr>
        <w:t>21–30 lat</w:t>
      </w:r>
      <w:r w:rsidRPr="005952CC">
        <w:rPr>
          <w:rFonts w:cs="Arial"/>
          <w:sz w:val="22"/>
          <w:szCs w:val="22"/>
        </w:rPr>
        <w:t>, co może sugerować przesunięcie w</w:t>
      </w:r>
      <w:r>
        <w:rPr>
          <w:rFonts w:cs="Arial"/>
          <w:sz w:val="22"/>
          <w:szCs w:val="22"/>
        </w:rPr>
        <w:t> </w:t>
      </w:r>
      <w:r w:rsidRPr="005952CC">
        <w:rPr>
          <w:rFonts w:cs="Arial"/>
          <w:sz w:val="22"/>
          <w:szCs w:val="22"/>
        </w:rPr>
        <w:t>czasie sięgania po silniejsze substancje.</w:t>
      </w:r>
    </w:p>
    <w:p w14:paraId="56233F96" w14:textId="77777777" w:rsidR="001676E4" w:rsidRPr="005952CC" w:rsidRDefault="001676E4" w:rsidP="001676E4">
      <w:pPr>
        <w:numPr>
          <w:ilvl w:val="0"/>
          <w:numId w:val="45"/>
        </w:numPr>
        <w:spacing w:after="0" w:line="360" w:lineRule="auto"/>
        <w:jc w:val="both"/>
        <w:rPr>
          <w:rFonts w:cs="Arial"/>
          <w:sz w:val="22"/>
          <w:szCs w:val="22"/>
        </w:rPr>
      </w:pPr>
      <w:r w:rsidRPr="005952CC">
        <w:rPr>
          <w:rStyle w:val="Pogrubienie"/>
          <w:rFonts w:cs="Arial"/>
          <w:b w:val="0"/>
          <w:bCs w:val="0"/>
          <w:sz w:val="22"/>
          <w:szCs w:val="22"/>
        </w:rPr>
        <w:t>Heroina i metadon</w:t>
      </w:r>
      <w:r w:rsidRPr="005952CC">
        <w:rPr>
          <w:rFonts w:cs="Arial"/>
          <w:sz w:val="22"/>
          <w:szCs w:val="22"/>
        </w:rPr>
        <w:t xml:space="preserve"> – ich inicjacja następuje rzadziej i rozkłada się w mniejszych wartościach między </w:t>
      </w:r>
      <w:r w:rsidRPr="005952CC">
        <w:rPr>
          <w:rStyle w:val="Pogrubienie"/>
          <w:rFonts w:cs="Arial"/>
          <w:b w:val="0"/>
          <w:bCs w:val="0"/>
          <w:sz w:val="22"/>
          <w:szCs w:val="22"/>
        </w:rPr>
        <w:t>21–40 rokiem życia</w:t>
      </w:r>
      <w:r w:rsidRPr="005952CC">
        <w:rPr>
          <w:rFonts w:cs="Arial"/>
          <w:sz w:val="22"/>
          <w:szCs w:val="22"/>
        </w:rPr>
        <w:t>, z wyraźnie niższymi wartościami niż inne substancje.</w:t>
      </w:r>
    </w:p>
    <w:p w14:paraId="214B511C" w14:textId="77777777" w:rsidR="001676E4" w:rsidRPr="005952CC" w:rsidRDefault="001676E4" w:rsidP="001676E4">
      <w:pPr>
        <w:spacing w:after="0" w:line="360" w:lineRule="auto"/>
        <w:jc w:val="both"/>
        <w:rPr>
          <w:rFonts w:cs="Arial"/>
          <w:sz w:val="22"/>
          <w:szCs w:val="22"/>
        </w:rPr>
      </w:pPr>
      <w:r w:rsidRPr="005952CC">
        <w:rPr>
          <w:rFonts w:cs="Arial"/>
          <w:sz w:val="22"/>
          <w:szCs w:val="22"/>
        </w:rPr>
        <w:t xml:space="preserve">     Największa koncentracja inicjacji substancji psychoaktywnych przypada na wiek </w:t>
      </w:r>
      <w:r w:rsidRPr="005952CC">
        <w:rPr>
          <w:rStyle w:val="Pogrubienie"/>
          <w:rFonts w:cs="Arial"/>
          <w:b w:val="0"/>
          <w:bCs w:val="0"/>
          <w:sz w:val="22"/>
          <w:szCs w:val="22"/>
        </w:rPr>
        <w:t>nastolatków i młodych dorosłych (10–20 lat)</w:t>
      </w:r>
      <w:r w:rsidRPr="005952CC">
        <w:rPr>
          <w:rFonts w:cs="Arial"/>
          <w:sz w:val="22"/>
          <w:szCs w:val="22"/>
        </w:rPr>
        <w:t xml:space="preserve">. Substancje legalne i powszechnie dostępne, takie jak </w:t>
      </w:r>
      <w:r w:rsidRPr="005952CC">
        <w:rPr>
          <w:rStyle w:val="Pogrubienie"/>
          <w:rFonts w:cs="Arial"/>
          <w:b w:val="0"/>
          <w:bCs w:val="0"/>
          <w:sz w:val="22"/>
          <w:szCs w:val="22"/>
        </w:rPr>
        <w:t>alkohol, nikotyna i napoje energetyczne</w:t>
      </w:r>
      <w:r w:rsidRPr="005952CC">
        <w:rPr>
          <w:rFonts w:cs="Arial"/>
          <w:sz w:val="22"/>
          <w:szCs w:val="22"/>
        </w:rPr>
        <w:t xml:space="preserve">, są używane znacznie wcześniej niż inne. Substancje bardziej ryzykowne (narkotyki twarde, środki odurzające) pojawiają się najczęściej w wieku </w:t>
      </w:r>
      <w:r w:rsidRPr="005952CC">
        <w:rPr>
          <w:rStyle w:val="Pogrubienie"/>
          <w:rFonts w:cs="Arial"/>
          <w:b w:val="0"/>
          <w:bCs w:val="0"/>
          <w:sz w:val="22"/>
          <w:szCs w:val="22"/>
        </w:rPr>
        <w:t>powyżej 20. roku życia</w:t>
      </w:r>
      <w:r w:rsidRPr="005952CC">
        <w:rPr>
          <w:rFonts w:cs="Arial"/>
          <w:sz w:val="22"/>
          <w:szCs w:val="22"/>
        </w:rPr>
        <w:t>. Po 40. roku życia inicjacja jakiejkolwiek substancji jest marginalna.</w:t>
      </w:r>
    </w:p>
    <w:p w14:paraId="61735D10" w14:textId="77777777" w:rsidR="001676E4" w:rsidRPr="005952CC" w:rsidRDefault="001676E4" w:rsidP="001676E4">
      <w:pPr>
        <w:spacing w:before="100" w:beforeAutospacing="1" w:after="100" w:afterAutospacing="1" w:line="360" w:lineRule="auto"/>
        <w:ind w:firstLine="567"/>
        <w:jc w:val="both"/>
        <w:rPr>
          <w:rFonts w:cs="Arial"/>
          <w:sz w:val="22"/>
          <w:szCs w:val="22"/>
        </w:rPr>
      </w:pPr>
      <w:r w:rsidRPr="005952CC">
        <w:rPr>
          <w:rFonts w:cs="Arial"/>
          <w:sz w:val="22"/>
          <w:szCs w:val="22"/>
        </w:rPr>
        <w:t>Wyniki badań wskazują na konieczność intensyfikacji działań profilaktycznych już na etapie wczesnej młodości, zanim nastąpi kontakt z substancjami uzależniającymi.</w:t>
      </w:r>
    </w:p>
    <w:p w14:paraId="65C8EF30" w14:textId="77777777" w:rsidR="00FF1107" w:rsidRPr="00FF1107" w:rsidRDefault="00FF1107" w:rsidP="00B11CBB">
      <w:pPr>
        <w:pStyle w:val="Nagwek2"/>
      </w:pPr>
      <w:bookmarkStart w:id="81" w:name="_Toc54081325"/>
      <w:bookmarkStart w:id="82" w:name="_Toc214277563"/>
      <w:r w:rsidRPr="00FF1107">
        <w:t>Diagnoza narkomanii wśród dzieci i młodzieży</w:t>
      </w:r>
      <w:bookmarkEnd w:id="81"/>
      <w:bookmarkEnd w:id="82"/>
    </w:p>
    <w:p w14:paraId="688CEC83" w14:textId="77777777" w:rsidR="00FF1107" w:rsidRPr="00317DE2" w:rsidRDefault="00FF1107" w:rsidP="00FF1107">
      <w:pPr>
        <w:spacing w:after="0" w:line="360" w:lineRule="auto"/>
        <w:ind w:firstLine="426"/>
        <w:jc w:val="both"/>
        <w:rPr>
          <w:rFonts w:cs="Arial"/>
          <w:sz w:val="22"/>
          <w:szCs w:val="22"/>
        </w:rPr>
      </w:pPr>
      <w:r w:rsidRPr="00317DE2">
        <w:rPr>
          <w:rFonts w:cs="Arial"/>
          <w:sz w:val="22"/>
          <w:szCs w:val="22"/>
        </w:rPr>
        <w:t>Charakterystyka problemu narkomanii wśród dzieci i młodzieży została opracowana na podstawie materiałów z badań ESPAD przeprowadzonych w 2024 r.</w:t>
      </w:r>
    </w:p>
    <w:p w14:paraId="015A42E6" w14:textId="77777777" w:rsidR="00FF1107" w:rsidRPr="00D503F3" w:rsidRDefault="00FF1107" w:rsidP="00A43860">
      <w:pPr>
        <w:pStyle w:val="Nagwek3"/>
      </w:pPr>
      <w:r w:rsidRPr="00D503F3">
        <w:t>Wzory używania narkotyków i NSP przez dzieci i młodzież</w:t>
      </w:r>
    </w:p>
    <w:p w14:paraId="7EC514D8" w14:textId="77777777" w:rsidR="00FF1107" w:rsidRPr="00D503F3" w:rsidRDefault="00FF1107" w:rsidP="00FF1107">
      <w:pPr>
        <w:spacing w:after="0" w:line="360" w:lineRule="auto"/>
        <w:ind w:firstLine="426"/>
        <w:jc w:val="both"/>
        <w:rPr>
          <w:rFonts w:cs="Arial"/>
          <w:sz w:val="22"/>
          <w:szCs w:val="22"/>
        </w:rPr>
      </w:pPr>
      <w:r w:rsidRPr="00D503F3">
        <w:rPr>
          <w:rFonts w:cs="Arial"/>
          <w:sz w:val="22"/>
          <w:szCs w:val="22"/>
        </w:rPr>
        <w:t xml:space="preserve">Miejsca zażywania narkotyków w porównaniu z poprzednimi latami nie zmieniły się. Młodzież najczęściej używa narkotyków w domach swoich kolegów i koleżanek, na imprezach, na podwórku i na dyskotekach, co potwierdza zasadność prowadzenia działań profilaktycznych, w miarę możliwości, w tych miejscach. Działania te powinny mieć charakter pracy </w:t>
      </w:r>
      <w:proofErr w:type="spellStart"/>
      <w:r w:rsidRPr="00D503F3">
        <w:rPr>
          <w:rFonts w:cs="Arial"/>
          <w:sz w:val="22"/>
          <w:szCs w:val="22"/>
        </w:rPr>
        <w:t>partyworkerskiej</w:t>
      </w:r>
      <w:proofErr w:type="spellEnd"/>
      <w:r w:rsidRPr="00D503F3">
        <w:rPr>
          <w:rFonts w:cs="Arial"/>
          <w:sz w:val="22"/>
          <w:szCs w:val="22"/>
        </w:rPr>
        <w:t xml:space="preserve"> i </w:t>
      </w:r>
      <w:proofErr w:type="spellStart"/>
      <w:r w:rsidRPr="00D503F3">
        <w:rPr>
          <w:rFonts w:cs="Arial"/>
          <w:sz w:val="22"/>
          <w:szCs w:val="22"/>
        </w:rPr>
        <w:t>streetworkerskiej</w:t>
      </w:r>
      <w:proofErr w:type="spellEnd"/>
      <w:r w:rsidRPr="00D503F3">
        <w:rPr>
          <w:rFonts w:cs="Arial"/>
          <w:sz w:val="22"/>
          <w:szCs w:val="22"/>
        </w:rPr>
        <w:t>. Działania podejmowane w ramach streetworkingu</w:t>
      </w:r>
      <w:r>
        <w:rPr>
          <w:rFonts w:cs="Arial"/>
          <w:sz w:val="22"/>
          <w:szCs w:val="22"/>
        </w:rPr>
        <w:t xml:space="preserve"> </w:t>
      </w:r>
      <w:r w:rsidRPr="00D503F3">
        <w:rPr>
          <w:rFonts w:cs="Arial"/>
          <w:sz w:val="22"/>
          <w:szCs w:val="22"/>
        </w:rPr>
        <w:t xml:space="preserve">bądź jego odmiany </w:t>
      </w:r>
      <w:proofErr w:type="spellStart"/>
      <w:r w:rsidRPr="00D503F3">
        <w:rPr>
          <w:rFonts w:cs="Arial"/>
          <w:sz w:val="22"/>
          <w:szCs w:val="22"/>
        </w:rPr>
        <w:t>partyworkingu</w:t>
      </w:r>
      <w:proofErr w:type="spellEnd"/>
      <w:r w:rsidRPr="00D503F3">
        <w:rPr>
          <w:rFonts w:cs="Arial"/>
          <w:sz w:val="22"/>
          <w:szCs w:val="22"/>
        </w:rPr>
        <w:t xml:space="preserve"> stanowią ideę bezpośredniego docierania do grup docelowych, poprzez kontakt z grupą odbiorców w ich własnym środowisku, tj. na ulicach, dworcach, miejscach zbiorowych imprez, dyskotekach. Streetworker dostosowując pomoc do danej grupy, może realizować skuteczny i efektywny program pomocowy. Działania podejmowane przez </w:t>
      </w:r>
      <w:proofErr w:type="spellStart"/>
      <w:r w:rsidRPr="00D503F3">
        <w:rPr>
          <w:rFonts w:cs="Arial"/>
          <w:sz w:val="22"/>
          <w:szCs w:val="22"/>
        </w:rPr>
        <w:t>partyworkerów</w:t>
      </w:r>
      <w:proofErr w:type="spellEnd"/>
      <w:r w:rsidRPr="00D503F3">
        <w:rPr>
          <w:rFonts w:cs="Arial"/>
          <w:sz w:val="22"/>
          <w:szCs w:val="22"/>
        </w:rPr>
        <w:t xml:space="preserve"> mają charakter profilaktyczno-edukacyjny, mający na celu promocję zdrowia oraz unikanie </w:t>
      </w:r>
      <w:proofErr w:type="spellStart"/>
      <w:r w:rsidRPr="00D503F3">
        <w:rPr>
          <w:rFonts w:cs="Arial"/>
          <w:sz w:val="22"/>
          <w:szCs w:val="22"/>
        </w:rPr>
        <w:t>zachowań</w:t>
      </w:r>
      <w:proofErr w:type="spellEnd"/>
      <w:r w:rsidRPr="00D503F3">
        <w:rPr>
          <w:rFonts w:cs="Arial"/>
          <w:sz w:val="22"/>
          <w:szCs w:val="22"/>
        </w:rPr>
        <w:t xml:space="preserve"> ryzykownych.</w:t>
      </w:r>
    </w:p>
    <w:p w14:paraId="69BD9183" w14:textId="0B3ECE2F" w:rsidR="00FF1107" w:rsidRPr="00317DE2" w:rsidRDefault="00FF1107" w:rsidP="00FF1107">
      <w:pPr>
        <w:spacing w:after="0" w:line="360" w:lineRule="auto"/>
        <w:ind w:firstLine="426"/>
        <w:jc w:val="both"/>
        <w:rPr>
          <w:rFonts w:cs="Arial"/>
          <w:sz w:val="22"/>
          <w:szCs w:val="22"/>
        </w:rPr>
      </w:pPr>
      <w:r w:rsidRPr="00D503F3">
        <w:rPr>
          <w:rFonts w:cs="Arial"/>
          <w:sz w:val="22"/>
          <w:szCs w:val="22"/>
        </w:rPr>
        <w:lastRenderedPageBreak/>
        <w:t xml:space="preserve">Wyniki badania ESPAD 2024 </w:t>
      </w:r>
      <w:r>
        <w:rPr>
          <w:rFonts w:cs="Arial"/>
          <w:sz w:val="22"/>
          <w:szCs w:val="22"/>
        </w:rPr>
        <w:t xml:space="preserve">w </w:t>
      </w:r>
      <w:r w:rsidRPr="00D503F3">
        <w:rPr>
          <w:rFonts w:cs="Arial"/>
          <w:sz w:val="22"/>
          <w:szCs w:val="22"/>
        </w:rPr>
        <w:t xml:space="preserve"> województwie lubelskim </w:t>
      </w:r>
      <w:r>
        <w:rPr>
          <w:rFonts w:cs="Arial"/>
          <w:sz w:val="22"/>
          <w:szCs w:val="22"/>
        </w:rPr>
        <w:t>wy</w:t>
      </w:r>
      <w:r w:rsidRPr="00D503F3">
        <w:rPr>
          <w:rFonts w:cs="Arial"/>
          <w:sz w:val="22"/>
          <w:szCs w:val="22"/>
        </w:rPr>
        <w:t>kazały, że większość badanych nigdy nie sięgała po substancje nielegalne. Wśród tych, którzy mają za sobą takie doświadczenia</w:t>
      </w:r>
      <w:r w:rsidR="00C9670E">
        <w:rPr>
          <w:rFonts w:cs="Arial"/>
          <w:sz w:val="22"/>
          <w:szCs w:val="22"/>
        </w:rPr>
        <w:t>,</w:t>
      </w:r>
      <w:r w:rsidRPr="00D503F3">
        <w:rPr>
          <w:rFonts w:cs="Arial"/>
          <w:sz w:val="22"/>
          <w:szCs w:val="22"/>
        </w:rPr>
        <w:t xml:space="preserve"> większość stanowią osoby sięgające po marihuanę lub haszysz. Do ich używania przynajmniej raz w życiu przyznało się w 2024 r</w:t>
      </w:r>
      <w:r w:rsidR="00C9670E">
        <w:rPr>
          <w:rFonts w:cs="Arial"/>
          <w:sz w:val="22"/>
          <w:szCs w:val="22"/>
        </w:rPr>
        <w:t>oku</w:t>
      </w:r>
      <w:r w:rsidRPr="00D503F3">
        <w:rPr>
          <w:rFonts w:cs="Arial"/>
          <w:sz w:val="22"/>
          <w:szCs w:val="22"/>
        </w:rPr>
        <w:t xml:space="preserve"> 17,6% młodzieży w wieku 15-16 lat  33,1% </w:t>
      </w:r>
      <w:r w:rsidR="00C9670E">
        <w:rPr>
          <w:rFonts w:cs="Arial"/>
          <w:sz w:val="22"/>
          <w:szCs w:val="22"/>
        </w:rPr>
        <w:t xml:space="preserve">i </w:t>
      </w:r>
      <w:r w:rsidRPr="00D503F3">
        <w:rPr>
          <w:rFonts w:cs="Arial"/>
          <w:sz w:val="22"/>
          <w:szCs w:val="22"/>
        </w:rPr>
        <w:t>17</w:t>
      </w:r>
      <w:r w:rsidR="00C9670E">
        <w:rPr>
          <w:rFonts w:cs="Arial"/>
          <w:sz w:val="22"/>
          <w:szCs w:val="22"/>
        </w:rPr>
        <w:t xml:space="preserve">- </w:t>
      </w:r>
      <w:r w:rsidRPr="00D503F3">
        <w:rPr>
          <w:rFonts w:cs="Arial"/>
          <w:sz w:val="22"/>
          <w:szCs w:val="22"/>
        </w:rPr>
        <w:t>18</w:t>
      </w:r>
      <w:r w:rsidR="00C9670E">
        <w:rPr>
          <w:rFonts w:cs="Arial"/>
          <w:sz w:val="22"/>
          <w:szCs w:val="22"/>
        </w:rPr>
        <w:t xml:space="preserve">- </w:t>
      </w:r>
      <w:r w:rsidRPr="00D503F3">
        <w:rPr>
          <w:rFonts w:cs="Arial"/>
          <w:sz w:val="22"/>
          <w:szCs w:val="22"/>
        </w:rPr>
        <w:t>latków. W 2019 r</w:t>
      </w:r>
      <w:r w:rsidR="00C9670E">
        <w:rPr>
          <w:rFonts w:cs="Arial"/>
          <w:sz w:val="22"/>
          <w:szCs w:val="22"/>
        </w:rPr>
        <w:t>oku</w:t>
      </w:r>
      <w:r w:rsidRPr="00D503F3">
        <w:rPr>
          <w:rFonts w:cs="Arial"/>
          <w:sz w:val="22"/>
          <w:szCs w:val="22"/>
        </w:rPr>
        <w:t xml:space="preserve"> było to odpowiednio 20% i 37,4%, co oznacza tendencję</w:t>
      </w:r>
      <w:r w:rsidRPr="00317DE2">
        <w:rPr>
          <w:rFonts w:cs="Arial"/>
          <w:sz w:val="22"/>
          <w:szCs w:val="22"/>
        </w:rPr>
        <w:t xml:space="preserve"> spadkową w obu grupach wiekowych. Pod względem częstości używania substancji nielegalnych na drugim miejscu są, tak jak w poprzednim badaniu, substancje wziewne (7,3% w młodszej grupie i 7% w starszej). </w:t>
      </w:r>
    </w:p>
    <w:p w14:paraId="28843B50" w14:textId="015AD701" w:rsidR="00FF1107" w:rsidRPr="00D503F3" w:rsidRDefault="00FF1107" w:rsidP="00FF1107">
      <w:pPr>
        <w:spacing w:after="0" w:line="360" w:lineRule="auto"/>
        <w:ind w:firstLine="426"/>
        <w:jc w:val="both"/>
        <w:rPr>
          <w:rFonts w:cs="Arial"/>
          <w:sz w:val="22"/>
          <w:szCs w:val="22"/>
        </w:rPr>
      </w:pPr>
      <w:r w:rsidRPr="00D503F3">
        <w:rPr>
          <w:rFonts w:cs="Arial"/>
          <w:sz w:val="22"/>
          <w:szCs w:val="22"/>
        </w:rPr>
        <w:t>To, co może niepokoić, to fakt że poza marihuaną i haszyszem, o których wspomniano wcześniej</w:t>
      </w:r>
      <w:r w:rsidR="00C9670E">
        <w:rPr>
          <w:rFonts w:cs="Arial"/>
          <w:sz w:val="22"/>
          <w:szCs w:val="22"/>
        </w:rPr>
        <w:t>,</w:t>
      </w:r>
      <w:r w:rsidRPr="00D503F3">
        <w:rPr>
          <w:rFonts w:cs="Arial"/>
          <w:sz w:val="22"/>
          <w:szCs w:val="22"/>
        </w:rPr>
        <w:t xml:space="preserve"> wysokie wartości osiąga używanie leków uspokajających i nasennych bez przepisu lekarza. Chodzi o używanie legalnych, dostępnych substancji w sposób niezgodny</w:t>
      </w:r>
      <w:r>
        <w:rPr>
          <w:rFonts w:cs="Arial"/>
          <w:sz w:val="22"/>
          <w:szCs w:val="22"/>
        </w:rPr>
        <w:t xml:space="preserve"> </w:t>
      </w:r>
      <w:r w:rsidRPr="00D503F3">
        <w:rPr>
          <w:rFonts w:cs="Arial"/>
          <w:sz w:val="22"/>
          <w:szCs w:val="22"/>
        </w:rPr>
        <w:t>z</w:t>
      </w:r>
      <w:r>
        <w:rPr>
          <w:rFonts w:cs="Arial"/>
          <w:sz w:val="22"/>
          <w:szCs w:val="22"/>
        </w:rPr>
        <w:t> </w:t>
      </w:r>
      <w:r w:rsidRPr="00D503F3">
        <w:rPr>
          <w:rFonts w:cs="Arial"/>
          <w:sz w:val="22"/>
          <w:szCs w:val="22"/>
        </w:rPr>
        <w:t>przeznaczeniem i/lub zaleceniem lekarza. Leki używało w ten sposób 17% młodszej kohorty i</w:t>
      </w:r>
      <w:r>
        <w:rPr>
          <w:rFonts w:cs="Arial"/>
          <w:sz w:val="22"/>
          <w:szCs w:val="22"/>
        </w:rPr>
        <w:t> </w:t>
      </w:r>
      <w:r w:rsidRPr="00D503F3">
        <w:rPr>
          <w:rFonts w:cs="Arial"/>
          <w:sz w:val="22"/>
          <w:szCs w:val="22"/>
        </w:rPr>
        <w:t>18,6% starszej kohorty. To druga substancja pod względem używalności w ogóle.</w:t>
      </w:r>
      <w:r w:rsidRPr="00D503F3">
        <w:rPr>
          <w:rFonts w:cs="Arial"/>
          <w:sz w:val="22"/>
          <w:szCs w:val="22"/>
        </w:rPr>
        <w:br/>
        <w:t>W porównaniu do roku 2019 poprawiła się nieznacznie sytuacja w młodszej grupie, spadek</w:t>
      </w:r>
      <w:r w:rsidRPr="00D503F3">
        <w:rPr>
          <w:rFonts w:cs="Arial"/>
          <w:sz w:val="22"/>
          <w:szCs w:val="22"/>
        </w:rPr>
        <w:br/>
        <w:t xml:space="preserve">o 1,5%; natomiast w grupie starszej nastąpił spadek aż o 7,4%. </w:t>
      </w:r>
    </w:p>
    <w:p w14:paraId="73E4350A" w14:textId="66E54FDF" w:rsidR="00FF1107" w:rsidRPr="00D503F3" w:rsidRDefault="00FF1107" w:rsidP="00FF1107">
      <w:pPr>
        <w:spacing w:after="0" w:line="360" w:lineRule="auto"/>
        <w:ind w:firstLine="426"/>
        <w:jc w:val="both"/>
        <w:rPr>
          <w:rFonts w:cs="Arial"/>
          <w:sz w:val="22"/>
          <w:szCs w:val="22"/>
        </w:rPr>
      </w:pPr>
      <w:r w:rsidRPr="00D503F3">
        <w:rPr>
          <w:rFonts w:cs="Arial"/>
          <w:sz w:val="22"/>
          <w:szCs w:val="22"/>
        </w:rPr>
        <w:t>Ogólne trendy w woj</w:t>
      </w:r>
      <w:r w:rsidR="00C9670E">
        <w:rPr>
          <w:rFonts w:cs="Arial"/>
          <w:sz w:val="22"/>
          <w:szCs w:val="22"/>
        </w:rPr>
        <w:t>ewództwie</w:t>
      </w:r>
      <w:r w:rsidRPr="00D503F3">
        <w:rPr>
          <w:rFonts w:cs="Arial"/>
          <w:sz w:val="22"/>
          <w:szCs w:val="22"/>
        </w:rPr>
        <w:t xml:space="preserve"> lubelskim pokrywają się z trendami obserwowanymi</w:t>
      </w:r>
      <w:r w:rsidRPr="00D503F3">
        <w:rPr>
          <w:rFonts w:cs="Arial"/>
          <w:sz w:val="22"/>
          <w:szCs w:val="22"/>
        </w:rPr>
        <w:br/>
        <w:t>w Polsce. Niewielkie różnice odnotowano w wypadku leków używanych bez przepisu lekarza w</w:t>
      </w:r>
      <w:r>
        <w:rPr>
          <w:rFonts w:cs="Arial"/>
          <w:sz w:val="22"/>
          <w:szCs w:val="22"/>
        </w:rPr>
        <w:t> </w:t>
      </w:r>
      <w:r w:rsidRPr="00D503F3">
        <w:rPr>
          <w:rFonts w:cs="Arial"/>
          <w:sz w:val="22"/>
          <w:szCs w:val="22"/>
        </w:rPr>
        <w:t xml:space="preserve">starszej kohorcie. Wyniki w tym zakresie, dotyczące woj. lubelskiego, są o ponad 2% niższe niż w Polsce. </w:t>
      </w:r>
    </w:p>
    <w:p w14:paraId="14D3BDB1" w14:textId="4496342C" w:rsidR="00FF1107" w:rsidRPr="005952CC" w:rsidRDefault="00FF1107" w:rsidP="00FF1107">
      <w:pPr>
        <w:spacing w:after="0" w:line="360" w:lineRule="auto"/>
        <w:ind w:firstLine="426"/>
        <w:jc w:val="both"/>
        <w:rPr>
          <w:rFonts w:eastAsia="Calibri" w:cs="Arial"/>
          <w:sz w:val="22"/>
          <w:szCs w:val="22"/>
          <w:lang w:eastAsia="en-US"/>
        </w:rPr>
      </w:pPr>
      <w:r w:rsidRPr="005952CC">
        <w:rPr>
          <w:rFonts w:eastAsia="Calibri" w:cs="Arial"/>
          <w:sz w:val="22"/>
          <w:szCs w:val="22"/>
          <w:lang w:eastAsia="en-US"/>
        </w:rPr>
        <w:t>Dane z badania ESPAD pokazują, że rozpowszechnienie podejmowania prób</w:t>
      </w:r>
      <w:r w:rsidRPr="005952CC">
        <w:rPr>
          <w:rFonts w:eastAsia="Calibri" w:cs="Arial"/>
          <w:sz w:val="22"/>
          <w:szCs w:val="22"/>
          <w:lang w:eastAsia="en-US"/>
        </w:rPr>
        <w:br/>
        <w:t>z substancjami psychoaktywnymi jest zależne od płci</w:t>
      </w:r>
      <w:r>
        <w:rPr>
          <w:rFonts w:eastAsia="Calibri" w:cs="Arial"/>
          <w:sz w:val="22"/>
          <w:szCs w:val="22"/>
          <w:lang w:eastAsia="en-US"/>
        </w:rPr>
        <w:t xml:space="preserve"> </w:t>
      </w:r>
      <w:r w:rsidRPr="005952CC">
        <w:rPr>
          <w:rFonts w:eastAsia="Calibri" w:cs="Arial"/>
          <w:sz w:val="22"/>
          <w:szCs w:val="22"/>
          <w:lang w:eastAsia="en-US"/>
        </w:rPr>
        <w:t>na obu poziomach nauczania. Chłopcy częściej deklarują próby używania substancji psychoaktywnych poza lekami uspokajającymi i nasennymi oraz lekami przeciwbólowymi używanymi w celu odurzania się. Eksperymentowanie z tymi grupami leków bardziej rozpowszechnione jest wśród dziewcząt. Dziewczęta częściej sięgają po alkohol</w:t>
      </w:r>
      <w:r>
        <w:rPr>
          <w:rFonts w:eastAsia="Calibri" w:cs="Arial"/>
          <w:sz w:val="22"/>
          <w:szCs w:val="22"/>
          <w:lang w:eastAsia="en-US"/>
        </w:rPr>
        <w:t xml:space="preserve"> </w:t>
      </w:r>
      <w:r w:rsidRPr="005952CC">
        <w:rPr>
          <w:rFonts w:eastAsia="Calibri" w:cs="Arial"/>
          <w:sz w:val="22"/>
          <w:szCs w:val="22"/>
          <w:lang w:eastAsia="en-US"/>
        </w:rPr>
        <w:t xml:space="preserve">w połączeniu z lekami. Ta tendencja utrzymuje się od 2015 roku. </w:t>
      </w:r>
    </w:p>
    <w:p w14:paraId="1A20E8EC" w14:textId="29BA1A0D" w:rsidR="00FF1107" w:rsidRPr="005952CC" w:rsidRDefault="00FF1107" w:rsidP="00FF1107">
      <w:pPr>
        <w:spacing w:after="0" w:line="360" w:lineRule="auto"/>
        <w:ind w:firstLine="426"/>
        <w:jc w:val="both"/>
        <w:rPr>
          <w:rFonts w:cs="Arial"/>
          <w:sz w:val="22"/>
          <w:szCs w:val="22"/>
        </w:rPr>
      </w:pPr>
      <w:bookmarkStart w:id="83" w:name="_Toc54080547"/>
      <w:r w:rsidRPr="005952CC">
        <w:rPr>
          <w:rFonts w:cs="Arial"/>
          <w:sz w:val="22"/>
          <w:szCs w:val="22"/>
        </w:rPr>
        <w:t>Odrębny problem stanowią NSP i/lub ŚZ, odpowiadające za dynamiczne zmiany na rynku narkotykowym. Do używania dopalaczy w województwie lubelskim, chociaż raz w życiu, przyznało się w 2024 r</w:t>
      </w:r>
      <w:r w:rsidR="00C9670E">
        <w:rPr>
          <w:rFonts w:cs="Arial"/>
          <w:sz w:val="22"/>
          <w:szCs w:val="22"/>
        </w:rPr>
        <w:t>oku</w:t>
      </w:r>
      <w:r w:rsidRPr="005952CC">
        <w:rPr>
          <w:rFonts w:cs="Arial"/>
          <w:sz w:val="22"/>
          <w:szCs w:val="22"/>
        </w:rPr>
        <w:t xml:space="preserve"> 6,5% uczniów młodszych i 7,2% uczniów starszych, w roku 2019 było to odpowiednio: 4,5% i 5,8% </w:t>
      </w:r>
      <w:r w:rsidRPr="004B3E03">
        <w:rPr>
          <w:rFonts w:cs="Arial"/>
          <w:sz w:val="22"/>
          <w:szCs w:val="22"/>
        </w:rPr>
        <w:t>(tabela nr 19).</w:t>
      </w:r>
    </w:p>
    <w:p w14:paraId="7B94735B" w14:textId="77777777" w:rsidR="00FF1107" w:rsidRDefault="00FF1107" w:rsidP="00FF1107">
      <w:pPr>
        <w:spacing w:line="360" w:lineRule="auto"/>
        <w:ind w:firstLine="425"/>
        <w:jc w:val="both"/>
        <w:rPr>
          <w:rFonts w:eastAsia="Calibri" w:cs="Arial"/>
          <w:sz w:val="22"/>
          <w:szCs w:val="22"/>
          <w:lang w:eastAsia="en-US"/>
        </w:rPr>
      </w:pPr>
      <w:r w:rsidRPr="005952CC">
        <w:rPr>
          <w:rFonts w:eastAsia="Calibri" w:cs="Arial"/>
          <w:sz w:val="22"/>
          <w:szCs w:val="22"/>
          <w:lang w:eastAsia="en-US"/>
        </w:rPr>
        <w:t>Warto zwrócić uwagę na fakt, że aktualnie wzrosła liczba osób, które sięgnęły po dopalacze w stosunku do poprzedniej edycji badania, co jest niepokojącym trendem. Zmiany te zaobserwowane są w obu grupach respondentów oraz w każdym wymiarze czasowym - kiedykolwiek w życiu, w czasie ostatnich 12 miesięcy i 30 dni przed badaniem.  Uczniowie z</w:t>
      </w:r>
      <w:r>
        <w:rPr>
          <w:rFonts w:eastAsia="Calibri" w:cs="Arial"/>
          <w:sz w:val="22"/>
          <w:szCs w:val="22"/>
          <w:lang w:eastAsia="en-US"/>
        </w:rPr>
        <w:t> </w:t>
      </w:r>
      <w:r w:rsidRPr="005952CC">
        <w:rPr>
          <w:rFonts w:eastAsia="Calibri" w:cs="Arial"/>
          <w:sz w:val="22"/>
          <w:szCs w:val="22"/>
          <w:lang w:eastAsia="en-US"/>
        </w:rPr>
        <w:t>terenu województwa lubelskiego w podobnych odsetkach używali dopalaczy jak ich</w:t>
      </w:r>
      <w:r w:rsidRPr="00317DE2">
        <w:rPr>
          <w:rFonts w:eastAsia="Calibri" w:cs="Arial"/>
          <w:sz w:val="22"/>
          <w:szCs w:val="22"/>
          <w:lang w:eastAsia="en-US"/>
        </w:rPr>
        <w:t xml:space="preserve"> rówieśnicy z populacji generalnej. Różnice nie przekraczają 1%. Należy wziąć to pod uwagę przy konstruowaniu nowych programów profilaktycznych.</w:t>
      </w:r>
    </w:p>
    <w:p w14:paraId="091A7128" w14:textId="05F3E5B7" w:rsidR="00FF1107" w:rsidRPr="0054713D" w:rsidRDefault="00FF1107" w:rsidP="00FF1107">
      <w:pPr>
        <w:pStyle w:val="Legenda"/>
        <w:keepNext/>
        <w:rPr>
          <w:sz w:val="20"/>
          <w:szCs w:val="16"/>
        </w:rPr>
      </w:pPr>
      <w:bookmarkStart w:id="84" w:name="_Toc214279702"/>
      <w:bookmarkEnd w:id="83"/>
      <w:r w:rsidRPr="0054713D">
        <w:rPr>
          <w:sz w:val="20"/>
          <w:szCs w:val="16"/>
        </w:rPr>
        <w:lastRenderedPageBreak/>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17</w:t>
      </w:r>
      <w:r w:rsidRPr="0054713D">
        <w:rPr>
          <w:sz w:val="20"/>
          <w:szCs w:val="16"/>
        </w:rPr>
        <w:fldChar w:fldCharType="end"/>
      </w:r>
      <w:r w:rsidRPr="0054713D">
        <w:rPr>
          <w:sz w:val="20"/>
          <w:szCs w:val="16"/>
        </w:rPr>
        <w:t>. Używanie NSP i/lub ŚZ przez młodzież w 2015, 2019 oraz w 2024 roku (w%)</w:t>
      </w:r>
      <w:bookmarkEnd w:id="84"/>
    </w:p>
    <w:tbl>
      <w:tblPr>
        <w:tblStyle w:val="Tabela-Siatka1"/>
        <w:tblW w:w="8790"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702"/>
        <w:gridCol w:w="1276"/>
        <w:gridCol w:w="1276"/>
        <w:gridCol w:w="1134"/>
        <w:gridCol w:w="1134"/>
        <w:gridCol w:w="1134"/>
        <w:gridCol w:w="1134"/>
      </w:tblGrid>
      <w:tr w:rsidR="00FF1107" w:rsidRPr="0054713D" w14:paraId="2A716C41" w14:textId="77777777" w:rsidTr="003901A0">
        <w:trPr>
          <w:trHeight w:val="613"/>
        </w:trPr>
        <w:tc>
          <w:tcPr>
            <w:tcW w:w="1702" w:type="dxa"/>
            <w:vAlign w:val="center"/>
          </w:tcPr>
          <w:p w14:paraId="5673D230" w14:textId="77777777" w:rsidR="00FF1107" w:rsidRPr="0054713D" w:rsidRDefault="00FF1107" w:rsidP="003901A0">
            <w:pPr>
              <w:spacing w:after="0" w:line="240" w:lineRule="auto"/>
              <w:jc w:val="center"/>
              <w:rPr>
                <w:rFonts w:eastAsia="Calibri" w:cs="Arial"/>
                <w:b/>
                <w:sz w:val="20"/>
                <w:lang w:eastAsia="en-US"/>
              </w:rPr>
            </w:pPr>
            <w:r w:rsidRPr="0054713D">
              <w:rPr>
                <w:rFonts w:eastAsia="Calibri" w:cs="Arial"/>
                <w:b/>
                <w:sz w:val="20"/>
                <w:lang w:eastAsia="en-US"/>
              </w:rPr>
              <w:t>Używanie dopalaczy przez uczniów młodszych</w:t>
            </w:r>
          </w:p>
        </w:tc>
        <w:tc>
          <w:tcPr>
            <w:tcW w:w="1276" w:type="dxa"/>
            <w:vAlign w:val="center"/>
          </w:tcPr>
          <w:p w14:paraId="3453604B" w14:textId="77777777" w:rsidR="00FF1107" w:rsidRPr="0054713D" w:rsidRDefault="00FF1107" w:rsidP="003901A0">
            <w:pPr>
              <w:spacing w:after="0" w:line="360" w:lineRule="auto"/>
              <w:ind w:hanging="103"/>
              <w:jc w:val="center"/>
              <w:rPr>
                <w:rFonts w:eastAsia="Calibri" w:cs="Arial"/>
                <w:b/>
                <w:sz w:val="20"/>
                <w:lang w:eastAsia="en-US"/>
              </w:rPr>
            </w:pPr>
            <w:r w:rsidRPr="0054713D">
              <w:rPr>
                <w:rFonts w:eastAsia="Calibri" w:cs="Arial"/>
                <w:b/>
                <w:sz w:val="20"/>
                <w:lang w:eastAsia="en-US"/>
              </w:rPr>
              <w:t>Lubelskie</w:t>
            </w:r>
          </w:p>
          <w:p w14:paraId="7DA1E373" w14:textId="77777777" w:rsidR="00FF1107" w:rsidRPr="0054713D" w:rsidRDefault="00FF1107" w:rsidP="003901A0">
            <w:pPr>
              <w:spacing w:after="0" w:line="360" w:lineRule="auto"/>
              <w:ind w:hanging="103"/>
              <w:jc w:val="center"/>
              <w:rPr>
                <w:rFonts w:eastAsia="Calibri" w:cs="Arial"/>
                <w:b/>
                <w:sz w:val="20"/>
                <w:lang w:eastAsia="en-US"/>
              </w:rPr>
            </w:pPr>
            <w:r w:rsidRPr="0054713D">
              <w:rPr>
                <w:rFonts w:eastAsia="Calibri" w:cs="Arial"/>
                <w:b/>
                <w:sz w:val="20"/>
                <w:lang w:eastAsia="en-US"/>
              </w:rPr>
              <w:t>2015</w:t>
            </w:r>
          </w:p>
        </w:tc>
        <w:tc>
          <w:tcPr>
            <w:tcW w:w="1276" w:type="dxa"/>
            <w:vAlign w:val="center"/>
          </w:tcPr>
          <w:p w14:paraId="469FBA8C" w14:textId="77777777" w:rsidR="00FF1107" w:rsidRPr="0054713D" w:rsidRDefault="00FF1107" w:rsidP="003901A0">
            <w:pPr>
              <w:spacing w:after="0" w:line="360" w:lineRule="auto"/>
              <w:ind w:hanging="103"/>
              <w:jc w:val="center"/>
              <w:rPr>
                <w:rFonts w:eastAsia="Calibri" w:cs="Arial"/>
                <w:b/>
                <w:sz w:val="20"/>
                <w:lang w:eastAsia="en-US"/>
              </w:rPr>
            </w:pPr>
            <w:r w:rsidRPr="0054713D">
              <w:rPr>
                <w:rFonts w:eastAsia="Calibri" w:cs="Arial"/>
                <w:b/>
                <w:sz w:val="20"/>
                <w:lang w:eastAsia="en-US"/>
              </w:rPr>
              <w:t>Lubelskie</w:t>
            </w:r>
          </w:p>
          <w:p w14:paraId="78C46BCA" w14:textId="77777777" w:rsidR="00FF1107" w:rsidRPr="0054713D" w:rsidRDefault="00FF1107" w:rsidP="003901A0">
            <w:pPr>
              <w:spacing w:after="0" w:line="360" w:lineRule="auto"/>
              <w:ind w:hanging="103"/>
              <w:jc w:val="center"/>
              <w:rPr>
                <w:rFonts w:eastAsia="Calibri" w:cs="Arial"/>
                <w:b/>
                <w:sz w:val="20"/>
                <w:lang w:eastAsia="en-US"/>
              </w:rPr>
            </w:pPr>
            <w:r w:rsidRPr="0054713D">
              <w:rPr>
                <w:rFonts w:eastAsia="Calibri" w:cs="Arial"/>
                <w:b/>
                <w:sz w:val="20"/>
                <w:lang w:eastAsia="en-US"/>
              </w:rPr>
              <w:t>2019</w:t>
            </w:r>
          </w:p>
        </w:tc>
        <w:tc>
          <w:tcPr>
            <w:tcW w:w="1134" w:type="dxa"/>
            <w:vAlign w:val="center"/>
          </w:tcPr>
          <w:p w14:paraId="226829E8" w14:textId="77777777" w:rsidR="00FF1107" w:rsidRPr="0054713D" w:rsidRDefault="00FF1107" w:rsidP="003901A0">
            <w:pPr>
              <w:spacing w:after="0" w:line="360" w:lineRule="auto"/>
              <w:ind w:hanging="103"/>
              <w:jc w:val="center"/>
              <w:rPr>
                <w:rFonts w:eastAsia="Calibri" w:cs="Arial"/>
                <w:b/>
                <w:sz w:val="20"/>
                <w:lang w:eastAsia="en-US"/>
              </w:rPr>
            </w:pPr>
            <w:r w:rsidRPr="0054713D">
              <w:rPr>
                <w:rFonts w:eastAsia="Calibri" w:cs="Arial"/>
                <w:b/>
                <w:sz w:val="20"/>
                <w:lang w:eastAsia="en-US"/>
              </w:rPr>
              <w:t>Lubelskie</w:t>
            </w:r>
          </w:p>
          <w:p w14:paraId="111C7723" w14:textId="77777777" w:rsidR="00FF1107" w:rsidRPr="0054713D" w:rsidRDefault="00FF1107" w:rsidP="003901A0">
            <w:pPr>
              <w:spacing w:after="0" w:line="360" w:lineRule="auto"/>
              <w:ind w:hanging="103"/>
              <w:jc w:val="center"/>
              <w:rPr>
                <w:rFonts w:eastAsia="Calibri" w:cs="Arial"/>
                <w:b/>
                <w:sz w:val="20"/>
                <w:lang w:eastAsia="en-US"/>
              </w:rPr>
            </w:pPr>
            <w:r w:rsidRPr="0054713D">
              <w:rPr>
                <w:rFonts w:eastAsia="Calibri" w:cs="Arial"/>
                <w:b/>
                <w:sz w:val="20"/>
                <w:lang w:eastAsia="en-US"/>
              </w:rPr>
              <w:t>2024</w:t>
            </w:r>
          </w:p>
        </w:tc>
        <w:tc>
          <w:tcPr>
            <w:tcW w:w="1134" w:type="dxa"/>
            <w:vAlign w:val="center"/>
          </w:tcPr>
          <w:p w14:paraId="0C1322A1" w14:textId="77777777" w:rsidR="00FF1107" w:rsidRPr="0054713D" w:rsidRDefault="00FF1107" w:rsidP="003901A0">
            <w:pPr>
              <w:spacing w:after="0" w:line="360" w:lineRule="auto"/>
              <w:jc w:val="center"/>
              <w:rPr>
                <w:rFonts w:eastAsia="Calibri" w:cs="Arial"/>
                <w:b/>
                <w:sz w:val="20"/>
                <w:lang w:eastAsia="en-US"/>
              </w:rPr>
            </w:pPr>
            <w:r w:rsidRPr="0054713D">
              <w:rPr>
                <w:rFonts w:eastAsia="Calibri" w:cs="Arial"/>
                <w:b/>
                <w:sz w:val="20"/>
                <w:lang w:eastAsia="en-US"/>
              </w:rPr>
              <w:t xml:space="preserve">Polska </w:t>
            </w:r>
          </w:p>
          <w:p w14:paraId="552434B5" w14:textId="77777777" w:rsidR="00FF1107" w:rsidRPr="0054713D" w:rsidRDefault="00FF1107" w:rsidP="003901A0">
            <w:pPr>
              <w:spacing w:after="0" w:line="360" w:lineRule="auto"/>
              <w:jc w:val="center"/>
              <w:rPr>
                <w:rFonts w:eastAsia="Calibri" w:cs="Arial"/>
                <w:b/>
                <w:sz w:val="20"/>
                <w:lang w:eastAsia="en-US"/>
              </w:rPr>
            </w:pPr>
            <w:r w:rsidRPr="0054713D">
              <w:rPr>
                <w:rFonts w:eastAsia="Calibri" w:cs="Arial"/>
                <w:b/>
                <w:sz w:val="20"/>
                <w:lang w:eastAsia="en-US"/>
              </w:rPr>
              <w:t>2015</w:t>
            </w:r>
          </w:p>
        </w:tc>
        <w:tc>
          <w:tcPr>
            <w:tcW w:w="1134" w:type="dxa"/>
            <w:vAlign w:val="center"/>
          </w:tcPr>
          <w:p w14:paraId="6906E2C3" w14:textId="77777777" w:rsidR="00FF1107" w:rsidRPr="0054713D" w:rsidRDefault="00FF1107" w:rsidP="003901A0">
            <w:pPr>
              <w:spacing w:after="0" w:line="360" w:lineRule="auto"/>
              <w:jc w:val="center"/>
              <w:rPr>
                <w:rFonts w:eastAsia="Calibri" w:cs="Arial"/>
                <w:b/>
                <w:sz w:val="20"/>
                <w:lang w:eastAsia="en-US"/>
              </w:rPr>
            </w:pPr>
            <w:r w:rsidRPr="0054713D">
              <w:rPr>
                <w:rFonts w:eastAsia="Calibri" w:cs="Arial"/>
                <w:b/>
                <w:sz w:val="20"/>
                <w:lang w:eastAsia="en-US"/>
              </w:rPr>
              <w:t>Polska</w:t>
            </w:r>
          </w:p>
          <w:p w14:paraId="483638F8" w14:textId="77777777" w:rsidR="00FF1107" w:rsidRPr="0054713D" w:rsidRDefault="00FF1107" w:rsidP="003901A0">
            <w:pPr>
              <w:spacing w:after="0" w:line="360" w:lineRule="auto"/>
              <w:jc w:val="center"/>
              <w:rPr>
                <w:rFonts w:eastAsia="Calibri" w:cs="Arial"/>
                <w:b/>
                <w:sz w:val="20"/>
                <w:lang w:eastAsia="en-US"/>
              </w:rPr>
            </w:pPr>
            <w:r w:rsidRPr="0054713D">
              <w:rPr>
                <w:rFonts w:eastAsia="Calibri" w:cs="Arial"/>
                <w:b/>
                <w:sz w:val="20"/>
                <w:lang w:eastAsia="en-US"/>
              </w:rPr>
              <w:t>2019</w:t>
            </w:r>
          </w:p>
        </w:tc>
        <w:tc>
          <w:tcPr>
            <w:tcW w:w="1134" w:type="dxa"/>
            <w:vAlign w:val="center"/>
          </w:tcPr>
          <w:p w14:paraId="63344BAC" w14:textId="77777777" w:rsidR="00FF1107" w:rsidRPr="0054713D" w:rsidRDefault="00FF1107" w:rsidP="003901A0">
            <w:pPr>
              <w:spacing w:after="0" w:line="360" w:lineRule="auto"/>
              <w:jc w:val="center"/>
              <w:rPr>
                <w:rFonts w:eastAsia="Calibri" w:cs="Arial"/>
                <w:b/>
                <w:sz w:val="20"/>
                <w:lang w:eastAsia="en-US"/>
              </w:rPr>
            </w:pPr>
            <w:r w:rsidRPr="0054713D">
              <w:rPr>
                <w:rFonts w:eastAsia="Calibri" w:cs="Arial"/>
                <w:b/>
                <w:sz w:val="20"/>
                <w:lang w:eastAsia="en-US"/>
              </w:rPr>
              <w:t>Polska</w:t>
            </w:r>
          </w:p>
          <w:p w14:paraId="6847ED8F" w14:textId="77777777" w:rsidR="00FF1107" w:rsidRPr="0054713D" w:rsidRDefault="00FF1107" w:rsidP="003901A0">
            <w:pPr>
              <w:spacing w:after="0" w:line="360" w:lineRule="auto"/>
              <w:jc w:val="center"/>
              <w:rPr>
                <w:rFonts w:eastAsia="Calibri" w:cs="Arial"/>
                <w:b/>
                <w:sz w:val="20"/>
                <w:lang w:eastAsia="en-US"/>
              </w:rPr>
            </w:pPr>
            <w:r w:rsidRPr="0054713D">
              <w:rPr>
                <w:rFonts w:eastAsia="Calibri" w:cs="Arial"/>
                <w:b/>
                <w:sz w:val="20"/>
                <w:lang w:eastAsia="en-US"/>
              </w:rPr>
              <w:t>2024</w:t>
            </w:r>
          </w:p>
        </w:tc>
      </w:tr>
      <w:tr w:rsidR="00FF1107" w:rsidRPr="0054713D" w14:paraId="7EAF9219" w14:textId="77777777" w:rsidTr="003901A0">
        <w:trPr>
          <w:trHeight w:val="527"/>
        </w:trPr>
        <w:tc>
          <w:tcPr>
            <w:tcW w:w="1702" w:type="dxa"/>
            <w:vAlign w:val="center"/>
            <w:hideMark/>
          </w:tcPr>
          <w:p w14:paraId="5C52C344" w14:textId="77777777" w:rsidR="00FF1107" w:rsidRPr="0054713D" w:rsidRDefault="00FF1107" w:rsidP="003901A0">
            <w:pPr>
              <w:spacing w:after="0" w:line="240" w:lineRule="auto"/>
              <w:rPr>
                <w:rFonts w:eastAsia="Calibri" w:cs="Arial"/>
                <w:sz w:val="20"/>
                <w:lang w:eastAsia="en-US"/>
              </w:rPr>
            </w:pPr>
            <w:r w:rsidRPr="0054713D">
              <w:rPr>
                <w:rFonts w:eastAsia="Calibri" w:cs="Arial"/>
                <w:sz w:val="20"/>
                <w:lang w:eastAsia="en-US"/>
              </w:rPr>
              <w:t>Kiedykolwiek w życiu</w:t>
            </w:r>
          </w:p>
        </w:tc>
        <w:tc>
          <w:tcPr>
            <w:tcW w:w="1276" w:type="dxa"/>
            <w:vAlign w:val="center"/>
            <w:hideMark/>
          </w:tcPr>
          <w:p w14:paraId="6E19F6BF" w14:textId="77777777" w:rsidR="00FF1107" w:rsidRPr="0054713D" w:rsidRDefault="00FF1107" w:rsidP="003901A0">
            <w:pPr>
              <w:spacing w:after="0" w:line="360" w:lineRule="auto"/>
              <w:jc w:val="center"/>
              <w:rPr>
                <w:rFonts w:eastAsia="Calibri" w:cs="Arial"/>
                <w:bCs/>
                <w:sz w:val="20"/>
                <w:lang w:eastAsia="en-US"/>
              </w:rPr>
            </w:pPr>
            <w:r w:rsidRPr="0054713D">
              <w:rPr>
                <w:rFonts w:eastAsia="Calibri" w:cs="Arial"/>
                <w:bCs/>
                <w:sz w:val="20"/>
                <w:lang w:eastAsia="en-US"/>
              </w:rPr>
              <w:t>10,6</w:t>
            </w:r>
          </w:p>
        </w:tc>
        <w:tc>
          <w:tcPr>
            <w:tcW w:w="1276" w:type="dxa"/>
            <w:vAlign w:val="center"/>
          </w:tcPr>
          <w:p w14:paraId="751BDE91"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4,5</w:t>
            </w:r>
          </w:p>
        </w:tc>
        <w:tc>
          <w:tcPr>
            <w:tcW w:w="1134" w:type="dxa"/>
            <w:vAlign w:val="center"/>
          </w:tcPr>
          <w:p w14:paraId="49365125" w14:textId="77777777" w:rsidR="00FF1107" w:rsidRPr="0054713D" w:rsidRDefault="00FF1107" w:rsidP="003901A0">
            <w:pPr>
              <w:spacing w:after="0" w:line="360" w:lineRule="auto"/>
              <w:jc w:val="center"/>
              <w:rPr>
                <w:rFonts w:cs="Arial"/>
                <w:sz w:val="20"/>
              </w:rPr>
            </w:pPr>
            <w:r w:rsidRPr="0054713D">
              <w:rPr>
                <w:rFonts w:eastAsia="Calibri" w:cs="Arial"/>
                <w:b/>
                <w:bCs/>
                <w:sz w:val="20"/>
                <w:lang w:eastAsia="en-US"/>
              </w:rPr>
              <w:t>6,5</w:t>
            </w:r>
          </w:p>
        </w:tc>
        <w:tc>
          <w:tcPr>
            <w:tcW w:w="1134" w:type="dxa"/>
            <w:vAlign w:val="center"/>
          </w:tcPr>
          <w:p w14:paraId="43D3C4A5" w14:textId="77777777" w:rsidR="00FF1107" w:rsidRPr="0054713D" w:rsidRDefault="00FF1107" w:rsidP="003901A0">
            <w:pPr>
              <w:spacing w:after="0" w:line="360" w:lineRule="auto"/>
              <w:jc w:val="center"/>
              <w:rPr>
                <w:rFonts w:cs="Arial"/>
                <w:sz w:val="20"/>
              </w:rPr>
            </w:pPr>
            <w:r w:rsidRPr="0054713D">
              <w:rPr>
                <w:rFonts w:cs="Arial"/>
                <w:sz w:val="20"/>
              </w:rPr>
              <w:t>10,3</w:t>
            </w:r>
          </w:p>
        </w:tc>
        <w:tc>
          <w:tcPr>
            <w:tcW w:w="1134" w:type="dxa"/>
            <w:vAlign w:val="center"/>
          </w:tcPr>
          <w:p w14:paraId="2E2BBD5E"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5,2</w:t>
            </w:r>
          </w:p>
        </w:tc>
        <w:tc>
          <w:tcPr>
            <w:tcW w:w="1134" w:type="dxa"/>
            <w:vAlign w:val="center"/>
          </w:tcPr>
          <w:p w14:paraId="5F0C874E"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6,6</w:t>
            </w:r>
          </w:p>
        </w:tc>
      </w:tr>
      <w:tr w:rsidR="00FF1107" w:rsidRPr="0054713D" w14:paraId="242E802C" w14:textId="77777777" w:rsidTr="003901A0">
        <w:trPr>
          <w:trHeight w:val="393"/>
        </w:trPr>
        <w:tc>
          <w:tcPr>
            <w:tcW w:w="1702" w:type="dxa"/>
            <w:vAlign w:val="center"/>
            <w:hideMark/>
          </w:tcPr>
          <w:p w14:paraId="3084D653" w14:textId="77777777" w:rsidR="00FF1107" w:rsidRPr="0054713D" w:rsidRDefault="00FF1107" w:rsidP="003901A0">
            <w:pPr>
              <w:spacing w:after="0" w:line="240" w:lineRule="auto"/>
              <w:rPr>
                <w:rFonts w:eastAsia="Calibri" w:cs="Arial"/>
                <w:sz w:val="20"/>
                <w:lang w:eastAsia="en-US"/>
              </w:rPr>
            </w:pPr>
            <w:r w:rsidRPr="0054713D">
              <w:rPr>
                <w:rFonts w:eastAsia="Calibri" w:cs="Arial"/>
                <w:sz w:val="20"/>
                <w:lang w:eastAsia="en-US"/>
              </w:rPr>
              <w:t>W czasie 12 miesięcy przed badaniem</w:t>
            </w:r>
          </w:p>
        </w:tc>
        <w:tc>
          <w:tcPr>
            <w:tcW w:w="1276" w:type="dxa"/>
            <w:vAlign w:val="center"/>
            <w:hideMark/>
          </w:tcPr>
          <w:p w14:paraId="731EF0C3" w14:textId="77777777" w:rsidR="00FF1107" w:rsidRPr="0054713D" w:rsidRDefault="00FF1107" w:rsidP="003901A0">
            <w:pPr>
              <w:spacing w:after="0" w:line="360" w:lineRule="auto"/>
              <w:jc w:val="center"/>
              <w:rPr>
                <w:rFonts w:eastAsia="Calibri" w:cs="Arial"/>
                <w:bCs/>
                <w:sz w:val="20"/>
                <w:lang w:eastAsia="en-US"/>
              </w:rPr>
            </w:pPr>
            <w:r w:rsidRPr="0054713D">
              <w:rPr>
                <w:rFonts w:eastAsia="Calibri" w:cs="Arial"/>
                <w:bCs/>
                <w:sz w:val="20"/>
                <w:lang w:eastAsia="en-US"/>
              </w:rPr>
              <w:t>6,5</w:t>
            </w:r>
          </w:p>
        </w:tc>
        <w:tc>
          <w:tcPr>
            <w:tcW w:w="1276" w:type="dxa"/>
            <w:vAlign w:val="center"/>
          </w:tcPr>
          <w:p w14:paraId="0507550A"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4,2</w:t>
            </w:r>
          </w:p>
        </w:tc>
        <w:tc>
          <w:tcPr>
            <w:tcW w:w="1134" w:type="dxa"/>
            <w:vAlign w:val="center"/>
          </w:tcPr>
          <w:p w14:paraId="05561F34" w14:textId="77777777" w:rsidR="00FF1107" w:rsidRPr="0054713D" w:rsidRDefault="00FF1107" w:rsidP="003901A0">
            <w:pPr>
              <w:spacing w:after="0" w:line="360" w:lineRule="auto"/>
              <w:jc w:val="center"/>
              <w:rPr>
                <w:rFonts w:cs="Arial"/>
                <w:sz w:val="20"/>
              </w:rPr>
            </w:pPr>
            <w:r w:rsidRPr="0054713D">
              <w:rPr>
                <w:rFonts w:eastAsia="Calibri" w:cs="Arial"/>
                <w:b/>
                <w:bCs/>
                <w:sz w:val="20"/>
                <w:lang w:eastAsia="en-US"/>
              </w:rPr>
              <w:t>5,5</w:t>
            </w:r>
          </w:p>
        </w:tc>
        <w:tc>
          <w:tcPr>
            <w:tcW w:w="1134" w:type="dxa"/>
            <w:vAlign w:val="center"/>
          </w:tcPr>
          <w:p w14:paraId="53F7B4B4" w14:textId="77777777" w:rsidR="00FF1107" w:rsidRPr="0054713D" w:rsidRDefault="00FF1107" w:rsidP="003901A0">
            <w:pPr>
              <w:spacing w:after="0" w:line="360" w:lineRule="auto"/>
              <w:jc w:val="center"/>
              <w:rPr>
                <w:rFonts w:cs="Arial"/>
                <w:sz w:val="20"/>
              </w:rPr>
            </w:pPr>
            <w:r w:rsidRPr="0054713D">
              <w:rPr>
                <w:rFonts w:cs="Arial"/>
                <w:sz w:val="20"/>
              </w:rPr>
              <w:t>6,9</w:t>
            </w:r>
          </w:p>
        </w:tc>
        <w:tc>
          <w:tcPr>
            <w:tcW w:w="1134" w:type="dxa"/>
            <w:vAlign w:val="center"/>
          </w:tcPr>
          <w:p w14:paraId="60DC3AAD"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3,6</w:t>
            </w:r>
          </w:p>
        </w:tc>
        <w:tc>
          <w:tcPr>
            <w:tcW w:w="1134" w:type="dxa"/>
            <w:vAlign w:val="center"/>
          </w:tcPr>
          <w:p w14:paraId="7BC3DE27"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5,3</w:t>
            </w:r>
          </w:p>
        </w:tc>
      </w:tr>
      <w:tr w:rsidR="00FF1107" w:rsidRPr="0054713D" w14:paraId="6DB49E3D" w14:textId="77777777" w:rsidTr="003901A0">
        <w:trPr>
          <w:trHeight w:val="569"/>
        </w:trPr>
        <w:tc>
          <w:tcPr>
            <w:tcW w:w="1702" w:type="dxa"/>
            <w:vAlign w:val="center"/>
            <w:hideMark/>
          </w:tcPr>
          <w:p w14:paraId="26F7D128" w14:textId="77777777" w:rsidR="00FF1107" w:rsidRPr="0054713D" w:rsidRDefault="00FF1107" w:rsidP="003901A0">
            <w:pPr>
              <w:spacing w:after="0" w:line="240" w:lineRule="auto"/>
              <w:rPr>
                <w:rFonts w:eastAsia="Calibri" w:cs="Arial"/>
                <w:sz w:val="20"/>
                <w:lang w:eastAsia="en-US"/>
              </w:rPr>
            </w:pPr>
            <w:r w:rsidRPr="0054713D">
              <w:rPr>
                <w:rFonts w:eastAsia="Calibri" w:cs="Arial"/>
                <w:sz w:val="20"/>
                <w:lang w:eastAsia="en-US"/>
              </w:rPr>
              <w:t>W czasie 30 dni przed badaniem</w:t>
            </w:r>
          </w:p>
        </w:tc>
        <w:tc>
          <w:tcPr>
            <w:tcW w:w="1276" w:type="dxa"/>
            <w:vAlign w:val="center"/>
            <w:hideMark/>
          </w:tcPr>
          <w:p w14:paraId="0C1FB5B7" w14:textId="77777777" w:rsidR="00FF1107" w:rsidRPr="0054713D" w:rsidRDefault="00FF1107" w:rsidP="003901A0">
            <w:pPr>
              <w:spacing w:after="0" w:line="360" w:lineRule="auto"/>
              <w:jc w:val="center"/>
              <w:rPr>
                <w:rFonts w:eastAsia="Calibri" w:cs="Arial"/>
                <w:bCs/>
                <w:sz w:val="20"/>
                <w:lang w:eastAsia="en-US"/>
              </w:rPr>
            </w:pPr>
            <w:r w:rsidRPr="0054713D">
              <w:rPr>
                <w:rFonts w:eastAsia="Calibri" w:cs="Arial"/>
                <w:bCs/>
                <w:sz w:val="20"/>
                <w:lang w:eastAsia="en-US"/>
              </w:rPr>
              <w:t>4,1</w:t>
            </w:r>
          </w:p>
        </w:tc>
        <w:tc>
          <w:tcPr>
            <w:tcW w:w="1276" w:type="dxa"/>
            <w:vAlign w:val="center"/>
          </w:tcPr>
          <w:p w14:paraId="378ADA37"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3,4</w:t>
            </w:r>
          </w:p>
        </w:tc>
        <w:tc>
          <w:tcPr>
            <w:tcW w:w="1134" w:type="dxa"/>
            <w:vAlign w:val="center"/>
          </w:tcPr>
          <w:p w14:paraId="64E23450" w14:textId="77777777" w:rsidR="00FF1107" w:rsidRPr="0054713D" w:rsidRDefault="00FF1107" w:rsidP="003901A0">
            <w:pPr>
              <w:spacing w:after="0" w:line="360" w:lineRule="auto"/>
              <w:jc w:val="center"/>
              <w:rPr>
                <w:rFonts w:cs="Arial"/>
                <w:sz w:val="20"/>
              </w:rPr>
            </w:pPr>
            <w:r w:rsidRPr="0054713D">
              <w:rPr>
                <w:rFonts w:eastAsia="Calibri" w:cs="Arial"/>
                <w:b/>
                <w:bCs/>
                <w:sz w:val="20"/>
                <w:lang w:eastAsia="en-US"/>
              </w:rPr>
              <w:t>3,6</w:t>
            </w:r>
          </w:p>
        </w:tc>
        <w:tc>
          <w:tcPr>
            <w:tcW w:w="1134" w:type="dxa"/>
            <w:vAlign w:val="center"/>
          </w:tcPr>
          <w:p w14:paraId="54FDD414" w14:textId="77777777" w:rsidR="00FF1107" w:rsidRPr="0054713D" w:rsidRDefault="00FF1107" w:rsidP="003901A0">
            <w:pPr>
              <w:spacing w:after="0" w:line="360" w:lineRule="auto"/>
              <w:jc w:val="center"/>
              <w:rPr>
                <w:rFonts w:cs="Arial"/>
                <w:sz w:val="20"/>
              </w:rPr>
            </w:pPr>
            <w:r w:rsidRPr="0054713D">
              <w:rPr>
                <w:rFonts w:cs="Arial"/>
                <w:sz w:val="20"/>
              </w:rPr>
              <w:t>4,3</w:t>
            </w:r>
          </w:p>
        </w:tc>
        <w:tc>
          <w:tcPr>
            <w:tcW w:w="1134" w:type="dxa"/>
            <w:vAlign w:val="center"/>
          </w:tcPr>
          <w:p w14:paraId="28BDD623"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2,5</w:t>
            </w:r>
          </w:p>
        </w:tc>
        <w:tc>
          <w:tcPr>
            <w:tcW w:w="1134" w:type="dxa"/>
            <w:vAlign w:val="center"/>
          </w:tcPr>
          <w:p w14:paraId="15CCD283"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3,9</w:t>
            </w:r>
          </w:p>
        </w:tc>
      </w:tr>
      <w:tr w:rsidR="00FF1107" w:rsidRPr="0054713D" w14:paraId="5795F2E0" w14:textId="77777777" w:rsidTr="003901A0">
        <w:trPr>
          <w:trHeight w:val="400"/>
        </w:trPr>
        <w:tc>
          <w:tcPr>
            <w:tcW w:w="1702" w:type="dxa"/>
            <w:vAlign w:val="center"/>
          </w:tcPr>
          <w:p w14:paraId="45278245" w14:textId="77777777" w:rsidR="00FF1107" w:rsidRPr="0054713D" w:rsidRDefault="00FF1107" w:rsidP="003901A0">
            <w:pPr>
              <w:spacing w:after="0" w:line="240" w:lineRule="auto"/>
              <w:jc w:val="center"/>
              <w:rPr>
                <w:rFonts w:eastAsia="Calibri" w:cs="Arial"/>
                <w:sz w:val="20"/>
                <w:lang w:eastAsia="en-US"/>
              </w:rPr>
            </w:pPr>
            <w:r w:rsidRPr="0054713D">
              <w:rPr>
                <w:rFonts w:eastAsia="Calibri" w:cs="Arial"/>
                <w:b/>
                <w:sz w:val="20"/>
                <w:lang w:eastAsia="en-US"/>
              </w:rPr>
              <w:t>Używanie dopalaczy przez uczniów starszych</w:t>
            </w:r>
          </w:p>
        </w:tc>
        <w:tc>
          <w:tcPr>
            <w:tcW w:w="1276" w:type="dxa"/>
            <w:vAlign w:val="center"/>
          </w:tcPr>
          <w:p w14:paraId="17BD7180"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Lubelskie 2015</w:t>
            </w:r>
          </w:p>
        </w:tc>
        <w:tc>
          <w:tcPr>
            <w:tcW w:w="1276" w:type="dxa"/>
            <w:vAlign w:val="center"/>
          </w:tcPr>
          <w:p w14:paraId="59B80C92"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Lubelskie</w:t>
            </w:r>
          </w:p>
          <w:p w14:paraId="04C72B6A"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2019</w:t>
            </w:r>
          </w:p>
        </w:tc>
        <w:tc>
          <w:tcPr>
            <w:tcW w:w="1134" w:type="dxa"/>
            <w:vAlign w:val="center"/>
          </w:tcPr>
          <w:p w14:paraId="67D923F9" w14:textId="77777777" w:rsidR="00FF1107" w:rsidRPr="0054713D" w:rsidRDefault="00FF1107" w:rsidP="003901A0">
            <w:pPr>
              <w:spacing w:after="0" w:line="360" w:lineRule="auto"/>
              <w:ind w:hanging="104"/>
              <w:jc w:val="center"/>
              <w:rPr>
                <w:rFonts w:cs="Arial"/>
                <w:b/>
                <w:sz w:val="20"/>
              </w:rPr>
            </w:pPr>
            <w:r w:rsidRPr="0054713D">
              <w:rPr>
                <w:rFonts w:cs="Arial"/>
                <w:b/>
                <w:sz w:val="20"/>
              </w:rPr>
              <w:t>Lubelskie</w:t>
            </w:r>
          </w:p>
          <w:p w14:paraId="1045F694" w14:textId="77777777" w:rsidR="00FF1107" w:rsidRPr="0054713D" w:rsidRDefault="00FF1107" w:rsidP="003901A0">
            <w:pPr>
              <w:spacing w:after="0" w:line="360" w:lineRule="auto"/>
              <w:ind w:hanging="104"/>
              <w:jc w:val="center"/>
              <w:rPr>
                <w:rFonts w:cs="Arial"/>
                <w:b/>
                <w:sz w:val="20"/>
              </w:rPr>
            </w:pPr>
            <w:r w:rsidRPr="0054713D">
              <w:rPr>
                <w:rFonts w:cs="Arial"/>
                <w:b/>
                <w:sz w:val="20"/>
              </w:rPr>
              <w:t>2024</w:t>
            </w:r>
          </w:p>
        </w:tc>
        <w:tc>
          <w:tcPr>
            <w:tcW w:w="1134" w:type="dxa"/>
            <w:vAlign w:val="center"/>
          </w:tcPr>
          <w:p w14:paraId="67114D8D" w14:textId="77777777" w:rsidR="00FF1107" w:rsidRPr="0054713D" w:rsidRDefault="00FF1107" w:rsidP="003901A0">
            <w:pPr>
              <w:spacing w:after="0" w:line="360" w:lineRule="auto"/>
              <w:jc w:val="center"/>
              <w:rPr>
                <w:rFonts w:cs="Arial"/>
                <w:b/>
                <w:sz w:val="20"/>
              </w:rPr>
            </w:pPr>
            <w:r w:rsidRPr="0054713D">
              <w:rPr>
                <w:rFonts w:cs="Arial"/>
                <w:b/>
                <w:sz w:val="20"/>
              </w:rPr>
              <w:t xml:space="preserve">Polska </w:t>
            </w:r>
          </w:p>
          <w:p w14:paraId="1DD9067F" w14:textId="77777777" w:rsidR="00FF1107" w:rsidRPr="0054713D" w:rsidRDefault="00FF1107" w:rsidP="003901A0">
            <w:pPr>
              <w:spacing w:after="0" w:line="360" w:lineRule="auto"/>
              <w:jc w:val="center"/>
              <w:rPr>
                <w:rFonts w:cs="Arial"/>
                <w:b/>
                <w:sz w:val="20"/>
              </w:rPr>
            </w:pPr>
            <w:r w:rsidRPr="0054713D">
              <w:rPr>
                <w:rFonts w:cs="Arial"/>
                <w:b/>
                <w:sz w:val="20"/>
              </w:rPr>
              <w:t>2015</w:t>
            </w:r>
          </w:p>
        </w:tc>
        <w:tc>
          <w:tcPr>
            <w:tcW w:w="1134" w:type="dxa"/>
            <w:vAlign w:val="center"/>
          </w:tcPr>
          <w:p w14:paraId="29DAFBAC"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Polska</w:t>
            </w:r>
          </w:p>
          <w:p w14:paraId="50F5BE8A"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2019</w:t>
            </w:r>
          </w:p>
        </w:tc>
        <w:tc>
          <w:tcPr>
            <w:tcW w:w="1134" w:type="dxa"/>
            <w:vAlign w:val="center"/>
          </w:tcPr>
          <w:p w14:paraId="7E9B91CA"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Polska</w:t>
            </w:r>
          </w:p>
          <w:p w14:paraId="3134F489"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2024</w:t>
            </w:r>
          </w:p>
        </w:tc>
      </w:tr>
      <w:tr w:rsidR="00FF1107" w:rsidRPr="0054713D" w14:paraId="27EFD248" w14:textId="77777777" w:rsidTr="003901A0">
        <w:trPr>
          <w:trHeight w:val="364"/>
        </w:trPr>
        <w:tc>
          <w:tcPr>
            <w:tcW w:w="1702" w:type="dxa"/>
            <w:vAlign w:val="center"/>
            <w:hideMark/>
          </w:tcPr>
          <w:p w14:paraId="2E9363AD" w14:textId="77777777" w:rsidR="00FF1107" w:rsidRPr="0054713D" w:rsidRDefault="00FF1107" w:rsidP="003901A0">
            <w:pPr>
              <w:spacing w:after="0" w:line="240" w:lineRule="auto"/>
              <w:rPr>
                <w:rFonts w:eastAsia="Calibri" w:cs="Arial"/>
                <w:sz w:val="20"/>
                <w:lang w:eastAsia="en-US"/>
              </w:rPr>
            </w:pPr>
            <w:r w:rsidRPr="0054713D">
              <w:rPr>
                <w:rFonts w:eastAsia="Calibri" w:cs="Arial"/>
                <w:sz w:val="20"/>
                <w:lang w:eastAsia="en-US"/>
              </w:rPr>
              <w:t>Kiedykolwiek w życiu</w:t>
            </w:r>
          </w:p>
        </w:tc>
        <w:tc>
          <w:tcPr>
            <w:tcW w:w="1276" w:type="dxa"/>
            <w:vAlign w:val="center"/>
            <w:hideMark/>
          </w:tcPr>
          <w:p w14:paraId="6763B7B1" w14:textId="77777777" w:rsidR="00FF1107" w:rsidRPr="0054713D" w:rsidRDefault="00FF1107" w:rsidP="003901A0">
            <w:pPr>
              <w:spacing w:after="0" w:line="360" w:lineRule="auto"/>
              <w:jc w:val="center"/>
              <w:rPr>
                <w:rFonts w:eastAsia="Calibri" w:cs="Arial"/>
                <w:bCs/>
                <w:sz w:val="20"/>
                <w:lang w:eastAsia="en-US"/>
              </w:rPr>
            </w:pPr>
            <w:r w:rsidRPr="0054713D">
              <w:rPr>
                <w:rFonts w:eastAsia="Calibri" w:cs="Arial"/>
                <w:bCs/>
                <w:sz w:val="20"/>
                <w:lang w:eastAsia="en-US"/>
              </w:rPr>
              <w:t>16,0</w:t>
            </w:r>
          </w:p>
        </w:tc>
        <w:tc>
          <w:tcPr>
            <w:tcW w:w="1276" w:type="dxa"/>
            <w:vAlign w:val="center"/>
          </w:tcPr>
          <w:p w14:paraId="778AE4F4"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5,8</w:t>
            </w:r>
          </w:p>
        </w:tc>
        <w:tc>
          <w:tcPr>
            <w:tcW w:w="1134" w:type="dxa"/>
            <w:vAlign w:val="center"/>
          </w:tcPr>
          <w:p w14:paraId="267E54CF" w14:textId="77777777" w:rsidR="00FF1107" w:rsidRPr="0054713D" w:rsidRDefault="00FF1107" w:rsidP="003901A0">
            <w:pPr>
              <w:spacing w:after="0" w:line="360" w:lineRule="auto"/>
              <w:jc w:val="center"/>
              <w:rPr>
                <w:rFonts w:cs="Arial"/>
                <w:sz w:val="20"/>
              </w:rPr>
            </w:pPr>
            <w:r w:rsidRPr="0054713D">
              <w:rPr>
                <w:rFonts w:eastAsia="Calibri" w:cs="Arial"/>
                <w:b/>
                <w:bCs/>
                <w:sz w:val="20"/>
                <w:lang w:eastAsia="en-US"/>
              </w:rPr>
              <w:t>7,2</w:t>
            </w:r>
          </w:p>
        </w:tc>
        <w:tc>
          <w:tcPr>
            <w:tcW w:w="1134" w:type="dxa"/>
            <w:vAlign w:val="center"/>
          </w:tcPr>
          <w:p w14:paraId="57885FE4" w14:textId="77777777" w:rsidR="00FF1107" w:rsidRPr="0054713D" w:rsidRDefault="00FF1107" w:rsidP="003901A0">
            <w:pPr>
              <w:spacing w:after="0" w:line="360" w:lineRule="auto"/>
              <w:jc w:val="center"/>
              <w:rPr>
                <w:rFonts w:cs="Arial"/>
                <w:sz w:val="20"/>
              </w:rPr>
            </w:pPr>
            <w:r w:rsidRPr="0054713D">
              <w:rPr>
                <w:rFonts w:cs="Arial"/>
                <w:sz w:val="20"/>
              </w:rPr>
              <w:t>12,6</w:t>
            </w:r>
          </w:p>
        </w:tc>
        <w:tc>
          <w:tcPr>
            <w:tcW w:w="1134" w:type="dxa"/>
            <w:vAlign w:val="center"/>
          </w:tcPr>
          <w:p w14:paraId="25D38DBD"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5,3</w:t>
            </w:r>
          </w:p>
        </w:tc>
        <w:tc>
          <w:tcPr>
            <w:tcW w:w="1134" w:type="dxa"/>
            <w:vAlign w:val="center"/>
          </w:tcPr>
          <w:p w14:paraId="3FF15251"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6,1</w:t>
            </w:r>
          </w:p>
        </w:tc>
      </w:tr>
      <w:tr w:rsidR="00FF1107" w:rsidRPr="0054713D" w14:paraId="4A3AD45C" w14:textId="77777777" w:rsidTr="003901A0">
        <w:trPr>
          <w:trHeight w:val="397"/>
        </w:trPr>
        <w:tc>
          <w:tcPr>
            <w:tcW w:w="1702" w:type="dxa"/>
            <w:vAlign w:val="center"/>
            <w:hideMark/>
          </w:tcPr>
          <w:p w14:paraId="3662DA5D" w14:textId="77777777" w:rsidR="00FF1107" w:rsidRPr="0054713D" w:rsidRDefault="00FF1107" w:rsidP="003901A0">
            <w:pPr>
              <w:spacing w:after="0" w:line="240" w:lineRule="auto"/>
              <w:rPr>
                <w:rFonts w:eastAsia="Calibri" w:cs="Arial"/>
                <w:sz w:val="20"/>
                <w:lang w:eastAsia="en-US"/>
              </w:rPr>
            </w:pPr>
            <w:r w:rsidRPr="0054713D">
              <w:rPr>
                <w:rFonts w:eastAsia="Calibri" w:cs="Arial"/>
                <w:sz w:val="20"/>
                <w:lang w:eastAsia="en-US"/>
              </w:rPr>
              <w:t>W czasie 12 miesięcy przed badaniem</w:t>
            </w:r>
          </w:p>
        </w:tc>
        <w:tc>
          <w:tcPr>
            <w:tcW w:w="1276" w:type="dxa"/>
            <w:vAlign w:val="center"/>
            <w:hideMark/>
          </w:tcPr>
          <w:p w14:paraId="09600332" w14:textId="77777777" w:rsidR="00FF1107" w:rsidRPr="0054713D" w:rsidRDefault="00FF1107" w:rsidP="003901A0">
            <w:pPr>
              <w:spacing w:after="0" w:line="360" w:lineRule="auto"/>
              <w:jc w:val="center"/>
              <w:rPr>
                <w:rFonts w:eastAsia="Calibri" w:cs="Arial"/>
                <w:bCs/>
                <w:sz w:val="20"/>
                <w:lang w:eastAsia="en-US"/>
              </w:rPr>
            </w:pPr>
            <w:r w:rsidRPr="0054713D">
              <w:rPr>
                <w:rFonts w:eastAsia="Calibri" w:cs="Arial"/>
                <w:bCs/>
                <w:sz w:val="20"/>
                <w:lang w:eastAsia="en-US"/>
              </w:rPr>
              <w:t>8,7</w:t>
            </w:r>
          </w:p>
        </w:tc>
        <w:tc>
          <w:tcPr>
            <w:tcW w:w="1276" w:type="dxa"/>
            <w:vAlign w:val="center"/>
          </w:tcPr>
          <w:p w14:paraId="43674DBC"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3,5</w:t>
            </w:r>
          </w:p>
        </w:tc>
        <w:tc>
          <w:tcPr>
            <w:tcW w:w="1134" w:type="dxa"/>
            <w:vAlign w:val="center"/>
          </w:tcPr>
          <w:p w14:paraId="6D1E0474" w14:textId="77777777" w:rsidR="00FF1107" w:rsidRPr="0054713D" w:rsidRDefault="00FF1107" w:rsidP="003901A0">
            <w:pPr>
              <w:spacing w:after="0" w:line="360" w:lineRule="auto"/>
              <w:jc w:val="center"/>
              <w:rPr>
                <w:rFonts w:cs="Arial"/>
                <w:sz w:val="20"/>
              </w:rPr>
            </w:pPr>
            <w:r w:rsidRPr="0054713D">
              <w:rPr>
                <w:rFonts w:eastAsia="Calibri" w:cs="Arial"/>
                <w:b/>
                <w:bCs/>
                <w:sz w:val="20"/>
                <w:lang w:eastAsia="en-US"/>
              </w:rPr>
              <w:t>5,8</w:t>
            </w:r>
          </w:p>
        </w:tc>
        <w:tc>
          <w:tcPr>
            <w:tcW w:w="1134" w:type="dxa"/>
            <w:vAlign w:val="center"/>
          </w:tcPr>
          <w:p w14:paraId="339DCA35" w14:textId="77777777" w:rsidR="00FF1107" w:rsidRPr="0054713D" w:rsidRDefault="00FF1107" w:rsidP="003901A0">
            <w:pPr>
              <w:spacing w:after="0" w:line="360" w:lineRule="auto"/>
              <w:jc w:val="center"/>
              <w:rPr>
                <w:rFonts w:cs="Arial"/>
                <w:sz w:val="20"/>
              </w:rPr>
            </w:pPr>
            <w:r w:rsidRPr="0054713D">
              <w:rPr>
                <w:rFonts w:cs="Arial"/>
                <w:sz w:val="20"/>
              </w:rPr>
              <w:t>6,0</w:t>
            </w:r>
          </w:p>
        </w:tc>
        <w:tc>
          <w:tcPr>
            <w:tcW w:w="1134" w:type="dxa"/>
            <w:vAlign w:val="center"/>
          </w:tcPr>
          <w:p w14:paraId="476314AB"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3,5</w:t>
            </w:r>
          </w:p>
        </w:tc>
        <w:tc>
          <w:tcPr>
            <w:tcW w:w="1134" w:type="dxa"/>
            <w:vAlign w:val="center"/>
          </w:tcPr>
          <w:p w14:paraId="3F1CAD8D"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4,8</w:t>
            </w:r>
          </w:p>
        </w:tc>
      </w:tr>
      <w:tr w:rsidR="00FF1107" w:rsidRPr="0054713D" w14:paraId="22E09264" w14:textId="77777777" w:rsidTr="003901A0">
        <w:trPr>
          <w:trHeight w:val="531"/>
        </w:trPr>
        <w:tc>
          <w:tcPr>
            <w:tcW w:w="1702" w:type="dxa"/>
            <w:vAlign w:val="center"/>
            <w:hideMark/>
          </w:tcPr>
          <w:p w14:paraId="4DF1BAF7" w14:textId="77777777" w:rsidR="00FF1107" w:rsidRPr="0054713D" w:rsidRDefault="00FF1107" w:rsidP="003901A0">
            <w:pPr>
              <w:spacing w:after="0" w:line="240" w:lineRule="auto"/>
              <w:rPr>
                <w:rFonts w:eastAsia="Calibri" w:cs="Arial"/>
                <w:sz w:val="20"/>
                <w:lang w:eastAsia="en-US"/>
              </w:rPr>
            </w:pPr>
            <w:r w:rsidRPr="0054713D">
              <w:rPr>
                <w:rFonts w:eastAsia="Calibri" w:cs="Arial"/>
                <w:sz w:val="20"/>
                <w:lang w:eastAsia="en-US"/>
              </w:rPr>
              <w:t>W czasie 30 dni przed badaniem</w:t>
            </w:r>
          </w:p>
        </w:tc>
        <w:tc>
          <w:tcPr>
            <w:tcW w:w="1276" w:type="dxa"/>
            <w:vAlign w:val="center"/>
            <w:hideMark/>
          </w:tcPr>
          <w:p w14:paraId="4D9E8500" w14:textId="77777777" w:rsidR="00FF1107" w:rsidRPr="0054713D" w:rsidRDefault="00FF1107" w:rsidP="003901A0">
            <w:pPr>
              <w:spacing w:after="0" w:line="360" w:lineRule="auto"/>
              <w:jc w:val="center"/>
              <w:rPr>
                <w:rFonts w:eastAsia="Calibri" w:cs="Arial"/>
                <w:bCs/>
                <w:sz w:val="20"/>
                <w:lang w:eastAsia="en-US"/>
              </w:rPr>
            </w:pPr>
            <w:r w:rsidRPr="0054713D">
              <w:rPr>
                <w:rFonts w:eastAsia="Calibri" w:cs="Arial"/>
                <w:bCs/>
                <w:sz w:val="20"/>
                <w:lang w:eastAsia="en-US"/>
              </w:rPr>
              <w:t>3,8</w:t>
            </w:r>
          </w:p>
          <w:p w14:paraId="556120B9" w14:textId="77777777" w:rsidR="00FF1107" w:rsidRPr="0054713D" w:rsidRDefault="00FF1107" w:rsidP="003901A0">
            <w:pPr>
              <w:spacing w:after="0" w:line="360" w:lineRule="auto"/>
              <w:jc w:val="center"/>
              <w:rPr>
                <w:rFonts w:eastAsia="Calibri" w:cs="Arial"/>
                <w:bCs/>
                <w:sz w:val="20"/>
                <w:lang w:eastAsia="en-US"/>
              </w:rPr>
            </w:pPr>
          </w:p>
        </w:tc>
        <w:tc>
          <w:tcPr>
            <w:tcW w:w="1276" w:type="dxa"/>
            <w:vAlign w:val="center"/>
          </w:tcPr>
          <w:p w14:paraId="0A313D3D"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2,6</w:t>
            </w:r>
          </w:p>
        </w:tc>
        <w:tc>
          <w:tcPr>
            <w:tcW w:w="1134" w:type="dxa"/>
            <w:vAlign w:val="center"/>
          </w:tcPr>
          <w:p w14:paraId="1E071372" w14:textId="77777777" w:rsidR="00FF1107" w:rsidRPr="0054713D" w:rsidRDefault="00FF1107" w:rsidP="003901A0">
            <w:pPr>
              <w:spacing w:after="0" w:line="360" w:lineRule="auto"/>
              <w:jc w:val="center"/>
              <w:rPr>
                <w:rFonts w:cs="Arial"/>
                <w:sz w:val="20"/>
              </w:rPr>
            </w:pPr>
            <w:r w:rsidRPr="0054713D">
              <w:rPr>
                <w:rFonts w:eastAsia="Calibri" w:cs="Arial"/>
                <w:b/>
                <w:bCs/>
                <w:sz w:val="20"/>
                <w:lang w:eastAsia="en-US"/>
              </w:rPr>
              <w:t>3,5</w:t>
            </w:r>
          </w:p>
        </w:tc>
        <w:tc>
          <w:tcPr>
            <w:tcW w:w="1134" w:type="dxa"/>
            <w:vAlign w:val="center"/>
          </w:tcPr>
          <w:p w14:paraId="1081BE6E" w14:textId="77777777" w:rsidR="00FF1107" w:rsidRPr="0054713D" w:rsidRDefault="00FF1107" w:rsidP="003901A0">
            <w:pPr>
              <w:spacing w:after="0" w:line="360" w:lineRule="auto"/>
              <w:jc w:val="center"/>
              <w:rPr>
                <w:rFonts w:cs="Arial"/>
                <w:sz w:val="20"/>
              </w:rPr>
            </w:pPr>
            <w:r w:rsidRPr="0054713D">
              <w:rPr>
                <w:rFonts w:cs="Arial"/>
                <w:sz w:val="20"/>
              </w:rPr>
              <w:t>3,0</w:t>
            </w:r>
          </w:p>
        </w:tc>
        <w:tc>
          <w:tcPr>
            <w:tcW w:w="1134" w:type="dxa"/>
            <w:vAlign w:val="center"/>
          </w:tcPr>
          <w:p w14:paraId="5C733669"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2,2</w:t>
            </w:r>
          </w:p>
        </w:tc>
        <w:tc>
          <w:tcPr>
            <w:tcW w:w="1134" w:type="dxa"/>
            <w:vAlign w:val="center"/>
          </w:tcPr>
          <w:p w14:paraId="4AFB39AE" w14:textId="77777777" w:rsidR="00FF1107" w:rsidRPr="0054713D" w:rsidRDefault="00FF1107" w:rsidP="003901A0">
            <w:pPr>
              <w:spacing w:after="0" w:line="360" w:lineRule="auto"/>
              <w:jc w:val="center"/>
              <w:rPr>
                <w:rFonts w:eastAsia="Calibri" w:cs="Arial"/>
                <w:b/>
                <w:bCs/>
                <w:sz w:val="20"/>
                <w:lang w:eastAsia="en-US"/>
              </w:rPr>
            </w:pPr>
            <w:r w:rsidRPr="0054713D">
              <w:rPr>
                <w:rFonts w:eastAsia="Calibri" w:cs="Arial"/>
                <w:b/>
                <w:bCs/>
                <w:sz w:val="20"/>
                <w:lang w:eastAsia="en-US"/>
              </w:rPr>
              <w:t>2,8</w:t>
            </w:r>
          </w:p>
        </w:tc>
      </w:tr>
    </w:tbl>
    <w:p w14:paraId="1C5CD96D" w14:textId="77777777" w:rsidR="00FF1107" w:rsidRPr="0054713D" w:rsidRDefault="00FF1107" w:rsidP="00FF1107">
      <w:pPr>
        <w:spacing w:after="120"/>
        <w:jc w:val="both"/>
        <w:rPr>
          <w:rFonts w:cs="Arial"/>
          <w:iCs/>
          <w:sz w:val="18"/>
          <w:szCs w:val="14"/>
        </w:rPr>
      </w:pPr>
      <w:r w:rsidRPr="0054713D">
        <w:rPr>
          <w:rFonts w:cs="Arial"/>
          <w:iCs/>
          <w:sz w:val="18"/>
          <w:szCs w:val="14"/>
        </w:rPr>
        <w:t>Źródło: Opracowanie własne na podstawie ESPAD 2015, 2019 i 2024</w:t>
      </w:r>
    </w:p>
    <w:p w14:paraId="310DEEEF" w14:textId="77777777" w:rsidR="00FF1107" w:rsidRPr="00317DE2" w:rsidRDefault="00FF1107" w:rsidP="00FF1107">
      <w:pPr>
        <w:spacing w:after="0" w:line="360" w:lineRule="auto"/>
        <w:ind w:firstLine="425"/>
        <w:jc w:val="both"/>
        <w:rPr>
          <w:rFonts w:cs="Arial"/>
          <w:sz w:val="22"/>
          <w:szCs w:val="22"/>
        </w:rPr>
      </w:pPr>
      <w:r w:rsidRPr="005952CC">
        <w:rPr>
          <w:rFonts w:cs="Arial"/>
          <w:sz w:val="22"/>
          <w:szCs w:val="22"/>
        </w:rPr>
        <w:t xml:space="preserve">Dopalacze, bez względu na wiek, najchętniej przyjmowane </w:t>
      </w:r>
      <w:r w:rsidRPr="00317DE2">
        <w:rPr>
          <w:rFonts w:cs="Arial"/>
          <w:sz w:val="22"/>
          <w:szCs w:val="22"/>
        </w:rPr>
        <w:t>są w postaci mieszanek ziołowych do palenia lub pod postacią proszku, kryształków, tabletek lub w inny sposób.</w:t>
      </w:r>
    </w:p>
    <w:p w14:paraId="7E941379" w14:textId="77777777" w:rsidR="00FF1107" w:rsidRPr="00317DE2" w:rsidRDefault="00FF1107" w:rsidP="00A43860">
      <w:pPr>
        <w:pStyle w:val="Nagwek3"/>
      </w:pPr>
      <w:r w:rsidRPr="00317DE2">
        <w:t>Ograniczanie dostępności</w:t>
      </w:r>
    </w:p>
    <w:p w14:paraId="11BC0232" w14:textId="22DE6048" w:rsidR="00FF1107" w:rsidRPr="00317DE2" w:rsidRDefault="00FF1107" w:rsidP="00FF1107">
      <w:pPr>
        <w:spacing w:after="0" w:line="360" w:lineRule="auto"/>
        <w:ind w:firstLine="426"/>
        <w:jc w:val="both"/>
        <w:rPr>
          <w:rFonts w:cs="Arial"/>
          <w:sz w:val="22"/>
          <w:szCs w:val="22"/>
        </w:rPr>
      </w:pPr>
      <w:r w:rsidRPr="005952CC">
        <w:rPr>
          <w:rFonts w:cs="Arial"/>
          <w:sz w:val="22"/>
          <w:szCs w:val="22"/>
        </w:rPr>
        <w:t>Za najbardziej dostępną substancję psychoaktywną wśród młodzieży na Lubelszczyźnie uważany jest alkohol. Inne substancje (legalne i nielegalne) są zdecydowanie mniej dostępne. Jednak niepokojący jest wskaźnik dostępności, w obu badanych grupach, leków uspokajających lub nasennych (22%</w:t>
      </w:r>
      <w:r>
        <w:rPr>
          <w:rFonts w:cs="Arial"/>
          <w:sz w:val="22"/>
          <w:szCs w:val="22"/>
        </w:rPr>
        <w:t xml:space="preserve"> </w:t>
      </w:r>
      <w:r w:rsidRPr="005952CC">
        <w:rPr>
          <w:rFonts w:cs="Arial"/>
          <w:sz w:val="22"/>
          <w:szCs w:val="22"/>
        </w:rPr>
        <w:t>-</w:t>
      </w:r>
      <w:r>
        <w:rPr>
          <w:rFonts w:cs="Arial"/>
          <w:sz w:val="22"/>
          <w:szCs w:val="22"/>
        </w:rPr>
        <w:t xml:space="preserve"> </w:t>
      </w:r>
      <w:r w:rsidRPr="005952CC">
        <w:rPr>
          <w:rFonts w:cs="Arial"/>
          <w:sz w:val="22"/>
          <w:szCs w:val="22"/>
        </w:rPr>
        <w:t>młodsza kohorta, 25,9%</w:t>
      </w:r>
      <w:r>
        <w:rPr>
          <w:rFonts w:cs="Arial"/>
          <w:sz w:val="22"/>
          <w:szCs w:val="22"/>
        </w:rPr>
        <w:t xml:space="preserve"> </w:t>
      </w:r>
      <w:r w:rsidRPr="005952CC">
        <w:rPr>
          <w:rFonts w:cs="Arial"/>
          <w:sz w:val="22"/>
          <w:szCs w:val="22"/>
        </w:rPr>
        <w:t>-</w:t>
      </w:r>
      <w:r>
        <w:rPr>
          <w:rFonts w:cs="Arial"/>
          <w:sz w:val="22"/>
          <w:szCs w:val="22"/>
        </w:rPr>
        <w:t xml:space="preserve"> </w:t>
      </w:r>
      <w:r w:rsidRPr="005952CC">
        <w:rPr>
          <w:rFonts w:cs="Arial"/>
          <w:sz w:val="22"/>
          <w:szCs w:val="22"/>
        </w:rPr>
        <w:t>starsza kohorta). Najbardziej dostępnymi nielegalnymi środkami psychoaktywnymi są marihuana lub haszysz (13,5%-młodsi uczniowie, 21,2%-starsi uczniowie). Niższy wskaźnik (o 1,3%) niż deklarowana dostępność tych substancji w Polsce występuje w młodszej grupie, natomiast wyższy o 0,7% w starszej grupie. Dostępność dopalaczy została oceniona bardzo podobnie przez uczniów z obu kohort (różnica 2 punktów procentowych). W ocenie 7,3% 15- i 16 – latków oraz 8% 17- i 18 – latków nowe substancje psychoaktywne (NSP) są bardzo łatwe do zdobycia. Uczniowie z</w:t>
      </w:r>
      <w:r w:rsidRPr="00317DE2">
        <w:rPr>
          <w:rFonts w:cs="Arial"/>
          <w:sz w:val="22"/>
          <w:szCs w:val="22"/>
        </w:rPr>
        <w:t xml:space="preserve"> województwa lubelskiego podobnie oceniali dostępność substancji, jak uczniowie z grupy ogólnopolskiej. Różnice w</w:t>
      </w:r>
      <w:r>
        <w:rPr>
          <w:rFonts w:cs="Arial"/>
          <w:sz w:val="22"/>
          <w:szCs w:val="22"/>
        </w:rPr>
        <w:t> </w:t>
      </w:r>
      <w:r w:rsidRPr="00317DE2">
        <w:rPr>
          <w:rFonts w:cs="Arial"/>
          <w:sz w:val="22"/>
          <w:szCs w:val="22"/>
        </w:rPr>
        <w:t xml:space="preserve">cenach nie przekraczają zwykle kilku punktów procentowych. </w:t>
      </w:r>
    </w:p>
    <w:p w14:paraId="28434AFA" w14:textId="3B6FF8F3" w:rsidR="00FF1107" w:rsidRPr="005952CC" w:rsidRDefault="00FF1107" w:rsidP="00FF1107">
      <w:pPr>
        <w:spacing w:after="0" w:line="360" w:lineRule="auto"/>
        <w:ind w:firstLine="426"/>
        <w:jc w:val="both"/>
        <w:rPr>
          <w:rFonts w:cs="Arial"/>
          <w:sz w:val="22"/>
          <w:szCs w:val="22"/>
        </w:rPr>
      </w:pPr>
      <w:r w:rsidRPr="00317DE2">
        <w:rPr>
          <w:rFonts w:cs="Arial"/>
          <w:sz w:val="22"/>
          <w:szCs w:val="22"/>
        </w:rPr>
        <w:t xml:space="preserve">Innym wskaźnikiem dostępności </w:t>
      </w:r>
      <w:r w:rsidR="00D85D06">
        <w:rPr>
          <w:rFonts w:cs="Arial"/>
          <w:sz w:val="22"/>
          <w:szCs w:val="22"/>
        </w:rPr>
        <w:t xml:space="preserve">(ESPAD 2024) </w:t>
      </w:r>
      <w:r w:rsidRPr="00317DE2">
        <w:rPr>
          <w:rFonts w:cs="Arial"/>
          <w:sz w:val="22"/>
          <w:szCs w:val="22"/>
        </w:rPr>
        <w:t xml:space="preserve">jest sytuacja, w której osoby badane otrzymały propozycję użycia jakieś substancji psychoaktywnej. Z propozycjami dotyczącymi substancji nielegalnych spotykają się mniej liczne frakcje badanych i stosunkowo najczęściej </w:t>
      </w:r>
      <w:r w:rsidRPr="00317DE2">
        <w:rPr>
          <w:rFonts w:cs="Arial"/>
          <w:sz w:val="22"/>
          <w:szCs w:val="22"/>
        </w:rPr>
        <w:lastRenderedPageBreak/>
        <w:t>dotyczą one konopi. Otrzymało je chociaż raz w czasie ostatnich 12 miesięcy 19,2% uczniów z klas młodszych i</w:t>
      </w:r>
      <w:r>
        <w:rPr>
          <w:rFonts w:cs="Arial"/>
          <w:sz w:val="22"/>
          <w:szCs w:val="22"/>
        </w:rPr>
        <w:t> </w:t>
      </w:r>
      <w:r w:rsidRPr="00317DE2">
        <w:rPr>
          <w:rFonts w:cs="Arial"/>
          <w:sz w:val="22"/>
          <w:szCs w:val="22"/>
        </w:rPr>
        <w:t>30,1% uczniów klas starszych. Odsetki uczniów, którym proponowano amfetaminę wynosiły w</w:t>
      </w:r>
      <w:r>
        <w:rPr>
          <w:rFonts w:cs="Arial"/>
          <w:sz w:val="22"/>
          <w:szCs w:val="22"/>
        </w:rPr>
        <w:t> </w:t>
      </w:r>
      <w:r w:rsidRPr="005952CC">
        <w:rPr>
          <w:rFonts w:cs="Arial"/>
          <w:sz w:val="22"/>
          <w:szCs w:val="22"/>
        </w:rPr>
        <w:t xml:space="preserve">przypadku młodszej młodzieży – 5,4% i starszej – 5%. </w:t>
      </w:r>
    </w:p>
    <w:p w14:paraId="38A0227A" w14:textId="75C6DDA0" w:rsidR="00FF1107" w:rsidRPr="005952CC" w:rsidRDefault="00FF1107" w:rsidP="00FF1107">
      <w:pPr>
        <w:spacing w:after="0" w:line="360" w:lineRule="auto"/>
        <w:ind w:firstLine="426"/>
        <w:jc w:val="both"/>
        <w:rPr>
          <w:rFonts w:cs="Arial"/>
          <w:sz w:val="22"/>
          <w:szCs w:val="22"/>
        </w:rPr>
      </w:pPr>
      <w:r w:rsidRPr="005952CC">
        <w:rPr>
          <w:rFonts w:cs="Arial"/>
          <w:sz w:val="22"/>
          <w:szCs w:val="22"/>
        </w:rPr>
        <w:t>Niepokojące są w województwie wysokie wskaźniki dotyczące leków uspokajających i</w:t>
      </w:r>
      <w:r>
        <w:rPr>
          <w:rFonts w:cs="Arial"/>
          <w:sz w:val="22"/>
          <w:szCs w:val="22"/>
        </w:rPr>
        <w:t> </w:t>
      </w:r>
      <w:r w:rsidRPr="005952CC">
        <w:rPr>
          <w:rFonts w:cs="Arial"/>
          <w:sz w:val="22"/>
          <w:szCs w:val="22"/>
        </w:rPr>
        <w:t>nasennych (22% młodsza kohorta, 25,9% starsza kohorta). Leki proponowane były podobnym odsetkom młodzieży z grupy młodszej i starszej (odpowiednio 9,6% i 10,1%) i w porównaniu do badań z 2019 r</w:t>
      </w:r>
      <w:r w:rsidR="00C9670E">
        <w:rPr>
          <w:rFonts w:cs="Arial"/>
          <w:sz w:val="22"/>
          <w:szCs w:val="22"/>
        </w:rPr>
        <w:t>oku</w:t>
      </w:r>
      <w:r w:rsidRPr="005952CC">
        <w:rPr>
          <w:rFonts w:cs="Arial"/>
          <w:sz w:val="22"/>
          <w:szCs w:val="22"/>
        </w:rPr>
        <w:t xml:space="preserve"> (ok. 7%) nastąpił wzrost. Znów należy zaznaczyć, że w</w:t>
      </w:r>
      <w:r>
        <w:rPr>
          <w:rFonts w:cs="Arial"/>
          <w:sz w:val="22"/>
          <w:szCs w:val="22"/>
        </w:rPr>
        <w:t xml:space="preserve"> </w:t>
      </w:r>
      <w:r w:rsidRPr="005952CC">
        <w:rPr>
          <w:rFonts w:cs="Arial"/>
          <w:sz w:val="22"/>
          <w:szCs w:val="22"/>
        </w:rPr>
        <w:t>przypadku grupy młodszej wyniki są niższe niż te odnotowane w skali kraju (2%). W grupie starszej młodzieży różnice są niewielkie (0,2%).</w:t>
      </w:r>
    </w:p>
    <w:p w14:paraId="72576AFF" w14:textId="11A83ECD" w:rsidR="00FF1107" w:rsidRPr="00317DE2" w:rsidRDefault="00FF1107" w:rsidP="00FF1107">
      <w:pPr>
        <w:spacing w:after="0" w:line="360" w:lineRule="auto"/>
        <w:ind w:firstLine="426"/>
        <w:jc w:val="both"/>
        <w:rPr>
          <w:rFonts w:eastAsia="Calibri" w:cs="Arial"/>
          <w:sz w:val="22"/>
          <w:szCs w:val="22"/>
          <w:lang w:eastAsia="en-US"/>
        </w:rPr>
      </w:pPr>
      <w:r w:rsidRPr="005952CC">
        <w:rPr>
          <w:rFonts w:cs="Arial"/>
          <w:sz w:val="22"/>
          <w:szCs w:val="22"/>
        </w:rPr>
        <w:t xml:space="preserve">Obraz dostępności uzupełnia wiedza dotycząca znajomości miejsc gdzie można zakupić substancje nielegalne. </w:t>
      </w:r>
      <w:r w:rsidRPr="005952CC">
        <w:rPr>
          <w:rFonts w:eastAsia="Calibri" w:cs="Arial"/>
          <w:sz w:val="22"/>
          <w:szCs w:val="22"/>
          <w:lang w:eastAsia="en-US"/>
        </w:rPr>
        <w:t>Większość respondentów orientuje się, gdzie można kupić marihuanę lub haszysz. Odsetek badanych nie znających takich miejsc jest wyższy wśród młodszej młodzieży (65,8%, w 2019 r</w:t>
      </w:r>
      <w:r w:rsidR="00C9670E">
        <w:rPr>
          <w:rFonts w:eastAsia="Calibri" w:cs="Arial"/>
          <w:sz w:val="22"/>
          <w:szCs w:val="22"/>
          <w:lang w:eastAsia="en-US"/>
        </w:rPr>
        <w:t>oku</w:t>
      </w:r>
      <w:r w:rsidRPr="005952CC">
        <w:rPr>
          <w:rFonts w:eastAsia="Calibri" w:cs="Arial"/>
          <w:sz w:val="22"/>
          <w:szCs w:val="22"/>
          <w:lang w:eastAsia="en-US"/>
        </w:rPr>
        <w:t xml:space="preserve"> - 62,6%), niż starszej (57,3%, w 2019 r</w:t>
      </w:r>
      <w:r w:rsidR="00C9670E">
        <w:rPr>
          <w:rFonts w:eastAsia="Calibri" w:cs="Arial"/>
          <w:sz w:val="22"/>
          <w:szCs w:val="22"/>
          <w:lang w:eastAsia="en-US"/>
        </w:rPr>
        <w:t>oku</w:t>
      </w:r>
      <w:r w:rsidRPr="005952CC">
        <w:rPr>
          <w:rFonts w:eastAsia="Calibri" w:cs="Arial"/>
          <w:sz w:val="22"/>
          <w:szCs w:val="22"/>
          <w:lang w:eastAsia="en-US"/>
        </w:rPr>
        <w:t xml:space="preserve"> - 58,3%). Młodsi najczęściej wśród miejsc, w których można dokonać zakupu wymieniali ulicę</w:t>
      </w:r>
      <w:r>
        <w:rPr>
          <w:rFonts w:eastAsia="Calibri" w:cs="Arial"/>
          <w:sz w:val="22"/>
          <w:szCs w:val="22"/>
          <w:lang w:eastAsia="en-US"/>
        </w:rPr>
        <w:t xml:space="preserve"> </w:t>
      </w:r>
      <w:r w:rsidRPr="005952CC">
        <w:rPr>
          <w:rFonts w:eastAsia="Calibri" w:cs="Arial"/>
          <w:sz w:val="22"/>
          <w:szCs w:val="22"/>
          <w:lang w:eastAsia="en-US"/>
        </w:rPr>
        <w:t xml:space="preserve">i park (18,8%), </w:t>
      </w:r>
      <w:proofErr w:type="spellStart"/>
      <w:r w:rsidRPr="005952CC">
        <w:rPr>
          <w:rFonts w:eastAsia="Calibri" w:cs="Arial"/>
          <w:sz w:val="22"/>
          <w:szCs w:val="22"/>
          <w:lang w:eastAsia="en-US"/>
        </w:rPr>
        <w:t>internet</w:t>
      </w:r>
      <w:proofErr w:type="spellEnd"/>
      <w:r w:rsidRPr="005952CC">
        <w:rPr>
          <w:rFonts w:eastAsia="Calibri" w:cs="Arial"/>
          <w:sz w:val="22"/>
          <w:szCs w:val="22"/>
          <w:lang w:eastAsia="en-US"/>
        </w:rPr>
        <w:t xml:space="preserve"> (12%), szkoła (11,8%), mieszkanie dealera (10,3%). Uczniowie starsi uszeregowali podane miejsca w</w:t>
      </w:r>
      <w:r>
        <w:rPr>
          <w:rFonts w:eastAsia="Calibri" w:cs="Arial"/>
          <w:sz w:val="22"/>
          <w:szCs w:val="22"/>
          <w:lang w:eastAsia="en-US"/>
        </w:rPr>
        <w:t> </w:t>
      </w:r>
      <w:r w:rsidRPr="005952CC">
        <w:rPr>
          <w:rFonts w:eastAsia="Calibri" w:cs="Arial"/>
          <w:sz w:val="22"/>
          <w:szCs w:val="22"/>
          <w:lang w:eastAsia="en-US"/>
        </w:rPr>
        <w:t xml:space="preserve">następujący sposób: ulica i park (25,8%), mieszkanie dealera (13,9%), szkoła (13,1%), </w:t>
      </w:r>
      <w:proofErr w:type="spellStart"/>
      <w:r w:rsidRPr="005952CC">
        <w:rPr>
          <w:rFonts w:eastAsia="Calibri" w:cs="Arial"/>
          <w:sz w:val="22"/>
          <w:szCs w:val="22"/>
          <w:lang w:eastAsia="en-US"/>
        </w:rPr>
        <w:t>internet</w:t>
      </w:r>
      <w:proofErr w:type="spellEnd"/>
      <w:r w:rsidRPr="005952CC">
        <w:rPr>
          <w:rFonts w:eastAsia="Calibri" w:cs="Arial"/>
          <w:sz w:val="22"/>
          <w:szCs w:val="22"/>
          <w:lang w:eastAsia="en-US"/>
        </w:rPr>
        <w:t xml:space="preserve"> (12,6). Obie grupy w najniższych odsetkach wskazali, że przetwory konopi </w:t>
      </w:r>
      <w:r w:rsidRPr="004B3E03">
        <w:rPr>
          <w:rFonts w:eastAsia="Calibri" w:cs="Arial"/>
          <w:sz w:val="22"/>
          <w:szCs w:val="22"/>
          <w:lang w:eastAsia="en-US"/>
        </w:rPr>
        <w:t>można łatwo kupić w barze i na dyskotece. Wśród młodszej grupy było to 4,3%, a wśród starszych 5%. Dane dotyczące województwa lubelskiego są zbieżne z danymi ogólnopolskimi.</w:t>
      </w:r>
      <w:r w:rsidRPr="00317DE2">
        <w:rPr>
          <w:rFonts w:eastAsia="Calibri" w:cs="Arial"/>
          <w:sz w:val="22"/>
          <w:szCs w:val="22"/>
          <w:lang w:eastAsia="en-US"/>
        </w:rPr>
        <w:t xml:space="preserve"> Wśród młodszych użytkowników wzrosła o 2,4% w porównaniu do 2019 r</w:t>
      </w:r>
      <w:r w:rsidR="00C9670E">
        <w:rPr>
          <w:rFonts w:eastAsia="Calibri" w:cs="Arial"/>
          <w:sz w:val="22"/>
          <w:szCs w:val="22"/>
          <w:lang w:eastAsia="en-US"/>
        </w:rPr>
        <w:t xml:space="preserve">oku </w:t>
      </w:r>
      <w:r w:rsidRPr="00317DE2">
        <w:rPr>
          <w:rFonts w:eastAsia="Calibri" w:cs="Arial"/>
          <w:sz w:val="22"/>
          <w:szCs w:val="22"/>
          <w:lang w:eastAsia="en-US"/>
        </w:rPr>
        <w:t xml:space="preserve">rola </w:t>
      </w:r>
      <w:proofErr w:type="spellStart"/>
      <w:r w:rsidRPr="00317DE2">
        <w:rPr>
          <w:rFonts w:eastAsia="Calibri" w:cs="Arial"/>
          <w:sz w:val="22"/>
          <w:szCs w:val="22"/>
          <w:lang w:eastAsia="en-US"/>
        </w:rPr>
        <w:t>internetu</w:t>
      </w:r>
      <w:proofErr w:type="spellEnd"/>
      <w:r w:rsidRPr="00317DE2">
        <w:rPr>
          <w:rFonts w:eastAsia="Calibri" w:cs="Arial"/>
          <w:sz w:val="22"/>
          <w:szCs w:val="22"/>
          <w:lang w:eastAsia="en-US"/>
        </w:rPr>
        <w:t xml:space="preserve"> jako miejsca zakupu środków odurzających.</w:t>
      </w:r>
    </w:p>
    <w:p w14:paraId="7DC9952D" w14:textId="77777777" w:rsidR="00FF1107" w:rsidRPr="00317DE2" w:rsidRDefault="00FF1107" w:rsidP="00A43860">
      <w:pPr>
        <w:pStyle w:val="Nagwek3"/>
      </w:pPr>
      <w:r w:rsidRPr="00317DE2">
        <w:t xml:space="preserve">Postawy wobec narkotyków i ocena problemu </w:t>
      </w:r>
    </w:p>
    <w:p w14:paraId="396CD1D7" w14:textId="75BB88DC" w:rsidR="00FF1107" w:rsidRPr="005952CC" w:rsidRDefault="00FF1107" w:rsidP="00FF1107">
      <w:pPr>
        <w:spacing w:after="0" w:line="360" w:lineRule="auto"/>
        <w:ind w:firstLine="426"/>
        <w:jc w:val="both"/>
        <w:rPr>
          <w:rFonts w:cs="Arial"/>
          <w:strike/>
          <w:sz w:val="22"/>
          <w:szCs w:val="22"/>
        </w:rPr>
      </w:pPr>
      <w:r w:rsidRPr="00317DE2">
        <w:rPr>
          <w:rFonts w:cs="Arial"/>
          <w:sz w:val="22"/>
          <w:szCs w:val="22"/>
        </w:rPr>
        <w:t xml:space="preserve">Według badań ankietowych ESPAD 2024 r. prowadzonych w województwie lubelskim, badani częściej za pewne uważali konsekwencje pozytywne palenia marihuany i haszyszu. </w:t>
      </w:r>
      <w:r w:rsidRPr="00D85D06">
        <w:rPr>
          <w:rFonts w:cs="Arial"/>
          <w:sz w:val="22"/>
          <w:szCs w:val="22"/>
        </w:rPr>
        <w:t>Wśród 15- i 16</w:t>
      </w:r>
      <w:r w:rsidR="008141C9">
        <w:rPr>
          <w:rFonts w:cs="Arial"/>
          <w:sz w:val="22"/>
          <w:szCs w:val="22"/>
        </w:rPr>
        <w:t>-</w:t>
      </w:r>
      <w:r w:rsidRPr="00D85D06">
        <w:rPr>
          <w:rFonts w:cs="Arial"/>
          <w:sz w:val="22"/>
          <w:szCs w:val="22"/>
        </w:rPr>
        <w:t xml:space="preserve"> latków na pierwszym miejscu znalazło się zwiększenie otwartości, zwiększenie intensywności radości, zwiększenie intensywności doświadczeń oraz mniejsza nieśmiałość. W starszej kohorcie pozytywna konsekwencją było: zwiększenie intensywności radości,</w:t>
      </w:r>
      <w:r w:rsidRPr="00317DE2">
        <w:rPr>
          <w:rFonts w:cs="Arial"/>
          <w:sz w:val="22"/>
          <w:szCs w:val="22"/>
        </w:rPr>
        <w:t xml:space="preserve"> </w:t>
      </w:r>
      <w:r w:rsidRPr="005952CC">
        <w:rPr>
          <w:rFonts w:cs="Arial"/>
          <w:sz w:val="22"/>
          <w:szCs w:val="22"/>
        </w:rPr>
        <w:t xml:space="preserve">zwiększenie otwartości, zwiększenie intensywności doświadczeń i mniejsza nieśmiałość. Pokazuje to, że badani używają substancji głównie po to, by lepiej sobie radzić w relacjach społecznych. Najczęściej oczekiwaną konsekwencja negatywną w obydwu grupach były trudności z koncentracją, utrata wątku myślenia oraz trudności z prowadzeniem rozmowy. </w:t>
      </w:r>
    </w:p>
    <w:p w14:paraId="1EBAED90" w14:textId="03789EE5" w:rsidR="00FF1107" w:rsidRPr="005952CC" w:rsidRDefault="00FF1107" w:rsidP="00FF1107">
      <w:pPr>
        <w:spacing w:after="0" w:line="360" w:lineRule="auto"/>
        <w:ind w:firstLine="426"/>
        <w:jc w:val="both"/>
        <w:rPr>
          <w:rFonts w:cs="Arial"/>
          <w:sz w:val="22"/>
          <w:szCs w:val="22"/>
        </w:rPr>
      </w:pPr>
      <w:r w:rsidRPr="005952CC">
        <w:rPr>
          <w:rFonts w:cs="Arial"/>
          <w:sz w:val="22"/>
          <w:szCs w:val="22"/>
        </w:rPr>
        <w:t>Jak pokazują dane z ESPAD 2024 zdecydowana większość uczniów dostrzega ryzyko s</w:t>
      </w:r>
      <w:r w:rsidR="008141C9">
        <w:rPr>
          <w:rFonts w:cs="Arial"/>
          <w:sz w:val="22"/>
          <w:szCs w:val="22"/>
        </w:rPr>
        <w:t>z</w:t>
      </w:r>
      <w:r w:rsidRPr="005952CC">
        <w:rPr>
          <w:rFonts w:cs="Arial"/>
          <w:sz w:val="22"/>
          <w:szCs w:val="22"/>
        </w:rPr>
        <w:t>kód związanych z</w:t>
      </w:r>
      <w:r>
        <w:rPr>
          <w:rFonts w:cs="Arial"/>
          <w:sz w:val="22"/>
          <w:szCs w:val="22"/>
        </w:rPr>
        <w:t> </w:t>
      </w:r>
      <w:r w:rsidRPr="005952CC">
        <w:rPr>
          <w:rFonts w:cs="Arial"/>
          <w:sz w:val="22"/>
          <w:szCs w:val="22"/>
        </w:rPr>
        <w:t xml:space="preserve">używaniem substancji psychoaktywnych. Tylko bardzo nieliczni stwierdzają, że ich używanie nie jest związane z żadnym negatywnym następstwem. Analiza rozkładów odpowiedzi wskazuje nasilenie używania jako główne źródło zróżnicowania ryzyka, </w:t>
      </w:r>
      <w:r w:rsidRPr="005952CC">
        <w:rPr>
          <w:rFonts w:cs="Arial"/>
          <w:sz w:val="22"/>
          <w:szCs w:val="22"/>
        </w:rPr>
        <w:lastRenderedPageBreak/>
        <w:t xml:space="preserve">w mniejszym stopniu role tę pełni rodzaj substancji. Eksperymentowanie z takimi narkotykami, jak </w:t>
      </w:r>
      <w:proofErr w:type="spellStart"/>
      <w:r w:rsidRPr="005952CC">
        <w:rPr>
          <w:rFonts w:cs="Arial"/>
          <w:sz w:val="22"/>
          <w:szCs w:val="22"/>
        </w:rPr>
        <w:t>ecstasy</w:t>
      </w:r>
      <w:proofErr w:type="spellEnd"/>
      <w:r w:rsidRPr="005952CC">
        <w:rPr>
          <w:rFonts w:cs="Arial"/>
          <w:sz w:val="22"/>
          <w:szCs w:val="22"/>
        </w:rPr>
        <w:t xml:space="preserve"> traktowane jest jako mniej ryzykowne niż regularne palenie papierosów lub częste picie w dużych ilościach napojów alkoholowych. Na poziomie eksperymentowania za najbardziej groźną w opiniach badanych uznać można amfetaminę (43,6% w młodszej grupie i 52% w starszej grupie). W przypadku przetworów konopi odsetki te są wyraźnie niższe -27% w młodszej kohorcie i 24,8% w starszej kohorcie. Na poziomie regularnego używania największe odsetki badanych za obarczone dużym ryzykiem uznały regularne zażywanie dopalaczy i amfetaminy. Warto zauważyć, że większe odsetki badanych uznają palenie marihuany lub haszyszu od czasu do czasu za obarczone mniejszym ryzykiem</w:t>
      </w:r>
      <w:r w:rsidR="008141C9">
        <w:rPr>
          <w:rFonts w:cs="Arial"/>
          <w:sz w:val="22"/>
          <w:szCs w:val="22"/>
        </w:rPr>
        <w:t>,</w:t>
      </w:r>
      <w:r w:rsidRPr="005952CC">
        <w:rPr>
          <w:rFonts w:cs="Arial"/>
          <w:sz w:val="22"/>
          <w:szCs w:val="22"/>
        </w:rPr>
        <w:t xml:space="preserve"> niż częste picie dużych ilości napojów alkoholowych lub picie weekendowe.</w:t>
      </w:r>
    </w:p>
    <w:p w14:paraId="04387998" w14:textId="77777777" w:rsidR="00FF1107" w:rsidRPr="005952CC" w:rsidRDefault="00FF1107" w:rsidP="00FF1107">
      <w:pPr>
        <w:spacing w:after="0" w:line="360" w:lineRule="auto"/>
        <w:ind w:firstLine="426"/>
        <w:jc w:val="both"/>
        <w:rPr>
          <w:rFonts w:cs="Arial"/>
          <w:sz w:val="22"/>
          <w:szCs w:val="22"/>
        </w:rPr>
      </w:pPr>
      <w:r w:rsidRPr="005952CC">
        <w:rPr>
          <w:rFonts w:cs="Arial"/>
          <w:sz w:val="22"/>
          <w:szCs w:val="22"/>
        </w:rPr>
        <w:t>Najczęściej spodziewaną konsekwencją negatywną jest poczucie bycia prześladowanym przez innych (41,5% i 42,5%).</w:t>
      </w:r>
      <w:r>
        <w:rPr>
          <w:rFonts w:cs="Arial"/>
          <w:sz w:val="22"/>
          <w:szCs w:val="22"/>
        </w:rPr>
        <w:t xml:space="preserve"> </w:t>
      </w:r>
      <w:r w:rsidRPr="005952CC">
        <w:rPr>
          <w:rFonts w:cs="Arial"/>
          <w:sz w:val="22"/>
          <w:szCs w:val="22"/>
        </w:rPr>
        <w:t>W przypadku problemów związanych z narkotykami, w obydwu grupach na pierwszy plan wysuwają się problemy z policją. W starszej kohorcie powyżej jednego procenta badanych wskazało dodatkowo na uprawianie seksu bez zabezpieczenia i</w:t>
      </w:r>
      <w:r>
        <w:rPr>
          <w:rFonts w:cs="Arial"/>
          <w:sz w:val="22"/>
          <w:szCs w:val="22"/>
        </w:rPr>
        <w:t> </w:t>
      </w:r>
      <w:r w:rsidRPr="005952CC">
        <w:rPr>
          <w:rFonts w:cs="Arial"/>
          <w:sz w:val="22"/>
          <w:szCs w:val="22"/>
        </w:rPr>
        <w:t>kierowanie pojazdem pod wpływem substancji psychoaktywnych, wypadek lub uszkodzenia ciała.</w:t>
      </w:r>
    </w:p>
    <w:p w14:paraId="059D6C40" w14:textId="25357B1A" w:rsidR="00FF1107" w:rsidRPr="00317DE2" w:rsidRDefault="00FF1107" w:rsidP="00FF1107">
      <w:pPr>
        <w:spacing w:after="0" w:line="360" w:lineRule="auto"/>
        <w:ind w:firstLine="426"/>
        <w:jc w:val="both"/>
        <w:rPr>
          <w:rFonts w:cs="Arial"/>
          <w:sz w:val="22"/>
          <w:szCs w:val="22"/>
        </w:rPr>
      </w:pPr>
      <w:r w:rsidRPr="00317DE2">
        <w:rPr>
          <w:rFonts w:cs="Arial"/>
          <w:sz w:val="22"/>
          <w:szCs w:val="22"/>
        </w:rPr>
        <w:t>Istotnym problem związanym z inicjacją narkotykową jest popularność e-papierosów. W</w:t>
      </w:r>
      <w:r>
        <w:rPr>
          <w:rFonts w:cs="Arial"/>
          <w:sz w:val="22"/>
          <w:szCs w:val="22"/>
        </w:rPr>
        <w:t> </w:t>
      </w:r>
      <w:r w:rsidRPr="00317DE2">
        <w:rPr>
          <w:rFonts w:cs="Arial"/>
          <w:sz w:val="22"/>
          <w:szCs w:val="22"/>
        </w:rPr>
        <w:t>czasie 30 dni przed badaniem paliło je 34% młodszej młodzieży i blisko 50% starszej. Okazjonalnie palenie deklaruje 9,5% 15-16 latków i 12,1% 17-18 latków. Ich używanie niejednokrotnie może stanowić wdrażający instrument do przyjmowania narkotyków drogą wziewną.</w:t>
      </w:r>
    </w:p>
    <w:p w14:paraId="034E974A" w14:textId="0FC04EBE" w:rsidR="00FF1107" w:rsidRPr="00317DE2" w:rsidRDefault="00FF1107" w:rsidP="00FF1107">
      <w:pPr>
        <w:spacing w:after="0" w:line="360" w:lineRule="auto"/>
        <w:ind w:firstLine="426"/>
        <w:jc w:val="both"/>
        <w:rPr>
          <w:rFonts w:cs="Arial"/>
          <w:sz w:val="22"/>
          <w:szCs w:val="22"/>
        </w:rPr>
      </w:pPr>
      <w:r w:rsidRPr="00317DE2">
        <w:rPr>
          <w:rFonts w:cs="Arial"/>
          <w:sz w:val="22"/>
          <w:szCs w:val="22"/>
        </w:rPr>
        <w:t>Skuteczność prowadzonych działań profilaktycznych w znaczącej mierze zależy od rodziny, a silna więź z rodzicami jest jednym z najważniejszych czynników chroniących młodych ludzi przed niebezpieczeństwami wynikającymi z używania narkotyków. Przyzwolenie ze strony rodziców lub brak zainteresowania stosunkiem dzieci do substancji psychoaktywnych może sprzyjać ich używaniu przez młodych ludzi</w:t>
      </w:r>
      <w:r w:rsidR="008141C9">
        <w:rPr>
          <w:rFonts w:cs="Arial"/>
          <w:sz w:val="22"/>
          <w:szCs w:val="22"/>
        </w:rPr>
        <w:t>,</w:t>
      </w:r>
      <w:r w:rsidRPr="00317DE2">
        <w:rPr>
          <w:rFonts w:cs="Arial"/>
          <w:sz w:val="22"/>
          <w:szCs w:val="22"/>
        </w:rPr>
        <w:t xml:space="preserve"> a odpowiednio realizowana strategia wychowawcza może zapobiec podejmowaniu i ponawianiu doświadczeń z substancjami psychoaktywnymi. Bardzo ważna jest rola rodziców w przekazywaniu dzieciom informacji o szkodliwym działaniu środków psychoaktywnych i skutkach ich używania.</w:t>
      </w:r>
    </w:p>
    <w:p w14:paraId="790EA2A8" w14:textId="77777777" w:rsidR="00FF1107" w:rsidRPr="00D85D06" w:rsidRDefault="00FF1107" w:rsidP="00FF1107">
      <w:pPr>
        <w:spacing w:after="0" w:line="360" w:lineRule="auto"/>
        <w:ind w:firstLine="426"/>
        <w:jc w:val="both"/>
        <w:rPr>
          <w:rFonts w:cs="Arial"/>
          <w:sz w:val="22"/>
          <w:szCs w:val="22"/>
        </w:rPr>
      </w:pPr>
      <w:r w:rsidRPr="00D85D06">
        <w:rPr>
          <w:rFonts w:cs="Arial"/>
          <w:sz w:val="22"/>
          <w:szCs w:val="22"/>
        </w:rPr>
        <w:t>Około połowa rodziców wie, gdzie i z kim ich dzieci spędzają czas, jeśli chodzi o młodszą młodzież. W przypadku starszej młodzieży nieco mniejszy odsetek rodziców ma taką wiedzę. Młodzi ludzie oceniali relacje z rodzicami i przyjaciółmi na 7 punktowej skali. W obydwu grupach wiekowych średnia ocen była podobna i oscylowały wokół 5. Ten wysoki poziom wskaźnika, może wyjaśniać relatywnie niskie wskaźniki sięgania po substancje psychoaktywne i jest czynnikiem wysoce pożądanym.</w:t>
      </w:r>
    </w:p>
    <w:p w14:paraId="5393677D" w14:textId="77777777" w:rsidR="00FF1107" w:rsidRDefault="00FF1107" w:rsidP="001676E4">
      <w:pPr>
        <w:spacing w:before="240" w:after="240" w:line="360" w:lineRule="auto"/>
        <w:jc w:val="both"/>
        <w:rPr>
          <w:rFonts w:cs="Arial"/>
          <w:b/>
          <w:bCs/>
          <w:sz w:val="22"/>
          <w:szCs w:val="22"/>
        </w:rPr>
      </w:pPr>
    </w:p>
    <w:p w14:paraId="21C60A01" w14:textId="4F999FC7" w:rsidR="001676E4" w:rsidRPr="00317DE2" w:rsidRDefault="001676E4" w:rsidP="00B11CBB">
      <w:pPr>
        <w:pStyle w:val="Nagwek2"/>
      </w:pPr>
      <w:r w:rsidRPr="00317DE2">
        <w:lastRenderedPageBreak/>
        <w:t>Zagrożenia</w:t>
      </w:r>
    </w:p>
    <w:p w14:paraId="457A7E03" w14:textId="1E061C5A" w:rsidR="001676E4" w:rsidRPr="005952CC" w:rsidRDefault="001676E4" w:rsidP="001676E4">
      <w:pPr>
        <w:spacing w:after="0" w:line="360" w:lineRule="auto"/>
        <w:ind w:firstLine="425"/>
        <w:jc w:val="both"/>
        <w:rPr>
          <w:rFonts w:cs="Arial"/>
          <w:sz w:val="22"/>
          <w:szCs w:val="22"/>
        </w:rPr>
      </w:pPr>
      <w:r w:rsidRPr="005952CC">
        <w:rPr>
          <w:rFonts w:cs="Arial"/>
          <w:sz w:val="22"/>
          <w:szCs w:val="22"/>
        </w:rPr>
        <w:t>Wynikiem używania substancji psychoaktywnych są zgony i zatrucia z powodu przedawkowania. Epidemiologia przypadków zatruć środkami zastępczymi prowadzona jest przez Główny Inspektorat Sanitarny (GIS), a lokalnie – Lubelski Państwowy Wojewódzki Inspektorat Sanitarny (PIS) oraz jednostki jej podległe tj. Wojewódzką Stację Sanitarno-Epidemiologiczną w Lublinie (WSSE w Lublinie) i Powiatowe Stacje Sanitarno-Epidemiologiczne (PSSE). Z</w:t>
      </w:r>
      <w:r w:rsidR="00CF7FA8">
        <w:rPr>
          <w:rFonts w:cs="Arial"/>
          <w:sz w:val="22"/>
          <w:szCs w:val="22"/>
        </w:rPr>
        <w:t xml:space="preserve"> </w:t>
      </w:r>
      <w:r w:rsidRPr="005952CC">
        <w:rPr>
          <w:rFonts w:cs="Arial"/>
          <w:sz w:val="22"/>
          <w:szCs w:val="22"/>
        </w:rPr>
        <w:t>danych PIS</w:t>
      </w:r>
      <w:r w:rsidRPr="005952CC">
        <w:rPr>
          <w:rStyle w:val="Odwoanieprzypisudolnego"/>
          <w:rFonts w:cs="Arial"/>
          <w:sz w:val="22"/>
          <w:szCs w:val="22"/>
        </w:rPr>
        <w:footnoteReference w:id="39"/>
      </w:r>
      <w:r w:rsidRPr="005952CC">
        <w:rPr>
          <w:rFonts w:cs="Arial"/>
          <w:sz w:val="22"/>
          <w:szCs w:val="22"/>
        </w:rPr>
        <w:t xml:space="preserve"> wynika, że w 2023 r</w:t>
      </w:r>
      <w:r w:rsidR="008141C9">
        <w:rPr>
          <w:rFonts w:cs="Arial"/>
          <w:sz w:val="22"/>
          <w:szCs w:val="22"/>
        </w:rPr>
        <w:t xml:space="preserve">oku </w:t>
      </w:r>
      <w:r w:rsidRPr="005952CC">
        <w:rPr>
          <w:rFonts w:cs="Arial"/>
          <w:sz w:val="22"/>
          <w:szCs w:val="22"/>
        </w:rPr>
        <w:t>odnotowano</w:t>
      </w:r>
      <w:r w:rsidR="00CF7FA8">
        <w:rPr>
          <w:rFonts w:cs="Arial"/>
          <w:sz w:val="22"/>
          <w:szCs w:val="22"/>
        </w:rPr>
        <w:t xml:space="preserve"> </w:t>
      </w:r>
      <w:r w:rsidRPr="005952CC">
        <w:rPr>
          <w:rFonts w:cs="Arial"/>
          <w:sz w:val="22"/>
          <w:szCs w:val="22"/>
        </w:rPr>
        <w:t>264 zatrucia NSP/ŚZ w</w:t>
      </w:r>
      <w:r w:rsidR="00CF7FA8">
        <w:rPr>
          <w:rFonts w:cs="Arial"/>
          <w:sz w:val="22"/>
          <w:szCs w:val="22"/>
        </w:rPr>
        <w:t xml:space="preserve"> </w:t>
      </w:r>
      <w:r w:rsidRPr="005952CC">
        <w:rPr>
          <w:rFonts w:cs="Arial"/>
          <w:sz w:val="22"/>
          <w:szCs w:val="22"/>
        </w:rPr>
        <w:t>Polsce, z czego żadnego</w:t>
      </w:r>
      <w:r w:rsidR="00CF7FA8">
        <w:rPr>
          <w:rFonts w:cs="Arial"/>
          <w:sz w:val="22"/>
          <w:szCs w:val="22"/>
        </w:rPr>
        <w:t xml:space="preserve"> </w:t>
      </w:r>
      <w:r w:rsidRPr="005952CC">
        <w:rPr>
          <w:rFonts w:cs="Arial"/>
          <w:sz w:val="22"/>
          <w:szCs w:val="22"/>
        </w:rPr>
        <w:t>w województwie lubelskim. To kolejny rok w którym odnotowuje się spadek.</w:t>
      </w:r>
    </w:p>
    <w:p w14:paraId="07411508" w14:textId="2E2C31EF" w:rsidR="001676E4" w:rsidRPr="005952CC" w:rsidRDefault="001676E4" w:rsidP="00B11CBB">
      <w:pPr>
        <w:pStyle w:val="Nagwek2"/>
      </w:pPr>
      <w:bookmarkStart w:id="85" w:name="_Toc54080969"/>
      <w:r w:rsidRPr="005952CC">
        <w:t>Liczba zatruć NSP/ŚZ w Polsce w 2023 r</w:t>
      </w:r>
      <w:r w:rsidR="008141C9">
        <w:t>oku</w:t>
      </w:r>
      <w:r w:rsidRPr="005952CC">
        <w:t xml:space="preserve"> z podziałem na województwa</w:t>
      </w:r>
      <w:bookmarkEnd w:id="85"/>
    </w:p>
    <w:p w14:paraId="66D08282" w14:textId="01D126D5" w:rsidR="001676E4" w:rsidRPr="00317DE2" w:rsidRDefault="001676E4" w:rsidP="001676E4">
      <w:pPr>
        <w:spacing w:line="360" w:lineRule="auto"/>
        <w:ind w:firstLine="425"/>
        <w:jc w:val="both"/>
        <w:rPr>
          <w:rFonts w:cs="Arial"/>
          <w:sz w:val="22"/>
          <w:szCs w:val="22"/>
        </w:rPr>
      </w:pPr>
      <w:r w:rsidRPr="005952CC">
        <w:rPr>
          <w:rFonts w:cs="Arial"/>
          <w:sz w:val="22"/>
          <w:szCs w:val="22"/>
        </w:rPr>
        <w:t xml:space="preserve">Jak wypada województwo lubelskie na tle innych województw pokazuje tabela </w:t>
      </w:r>
      <w:r w:rsidR="008141C9">
        <w:rPr>
          <w:rFonts w:cs="Arial"/>
          <w:sz w:val="22"/>
          <w:szCs w:val="22"/>
        </w:rPr>
        <w:t>18</w:t>
      </w:r>
      <w:r w:rsidRPr="005952CC">
        <w:rPr>
          <w:rFonts w:cs="Arial"/>
          <w:sz w:val="22"/>
          <w:szCs w:val="22"/>
        </w:rPr>
        <w:t xml:space="preserve"> prezentująca dane GIS</w:t>
      </w:r>
      <w:r w:rsidRPr="005952CC">
        <w:rPr>
          <w:rStyle w:val="Odwoanieprzypisudolnego"/>
          <w:rFonts w:cs="Arial"/>
          <w:sz w:val="22"/>
          <w:szCs w:val="22"/>
        </w:rPr>
        <w:footnoteReference w:id="40"/>
      </w:r>
      <w:r w:rsidRPr="005952CC">
        <w:rPr>
          <w:rFonts w:cs="Arial"/>
          <w:sz w:val="22"/>
          <w:szCs w:val="22"/>
        </w:rPr>
        <w:t xml:space="preserve">. W latach 2021 – 2023 zdefiniowano 1084 zatruć w Polsce. Największa liczba zgłoszeń w 2023 roku pochodziła </w:t>
      </w:r>
      <w:r w:rsidR="008141C9">
        <w:rPr>
          <w:rFonts w:cs="Arial"/>
          <w:sz w:val="22"/>
          <w:szCs w:val="22"/>
        </w:rPr>
        <w:t>z</w:t>
      </w:r>
      <w:r w:rsidRPr="005952CC">
        <w:rPr>
          <w:rFonts w:cs="Arial"/>
          <w:sz w:val="22"/>
          <w:szCs w:val="22"/>
        </w:rPr>
        <w:t xml:space="preserve"> województwa małopolskiego (61), śląskiego (56), lubuskiego (36). W ubiegłym roku były to małopolskie (73), wielkopolskie (72) i</w:t>
      </w:r>
      <w:r>
        <w:rPr>
          <w:rFonts w:cs="Arial"/>
          <w:sz w:val="22"/>
          <w:szCs w:val="22"/>
        </w:rPr>
        <w:t> </w:t>
      </w:r>
      <w:r w:rsidRPr="005952CC">
        <w:rPr>
          <w:rFonts w:cs="Arial"/>
          <w:sz w:val="22"/>
          <w:szCs w:val="22"/>
        </w:rPr>
        <w:t>łódzkie (47). Najmniejsza pochodziła z województwa lubelskiego i opolskiego – w obu</w:t>
      </w:r>
      <w:r w:rsidRPr="00317DE2">
        <w:rPr>
          <w:rFonts w:cs="Arial"/>
          <w:sz w:val="22"/>
          <w:szCs w:val="22"/>
        </w:rPr>
        <w:t xml:space="preserve"> wypadkach to 0.</w:t>
      </w:r>
    </w:p>
    <w:p w14:paraId="682BB4AD" w14:textId="6AF3C520" w:rsidR="001676E4" w:rsidRPr="00317DE2" w:rsidRDefault="001676E4" w:rsidP="001676E4">
      <w:pPr>
        <w:spacing w:line="360" w:lineRule="auto"/>
        <w:ind w:firstLine="425"/>
        <w:jc w:val="both"/>
        <w:rPr>
          <w:rFonts w:cs="Arial"/>
          <w:sz w:val="22"/>
          <w:szCs w:val="22"/>
        </w:rPr>
      </w:pPr>
      <w:r w:rsidRPr="00317DE2">
        <w:rPr>
          <w:rFonts w:cs="Arial"/>
          <w:sz w:val="22"/>
          <w:szCs w:val="22"/>
        </w:rPr>
        <w:t>Można zauważyć, że województwo lubelskie, plasuje się wśród województw o raczej niskiej  liczbie zatruć. Na przestrzeni ostatnich 3 lat było to 12 zatruć. W ostatnich 3 latach liczba zgłoszeń zatruć NSP/ŚZ systematycznie spada z 517 w 2021 r</w:t>
      </w:r>
      <w:r w:rsidR="008141C9">
        <w:rPr>
          <w:rFonts w:cs="Arial"/>
          <w:sz w:val="22"/>
          <w:szCs w:val="22"/>
        </w:rPr>
        <w:t>oku</w:t>
      </w:r>
      <w:r w:rsidRPr="00317DE2">
        <w:rPr>
          <w:rFonts w:cs="Arial"/>
          <w:sz w:val="22"/>
          <w:szCs w:val="22"/>
        </w:rPr>
        <w:t xml:space="preserve"> do 264 w 2023 r</w:t>
      </w:r>
      <w:r w:rsidR="008141C9">
        <w:rPr>
          <w:rFonts w:cs="Arial"/>
          <w:sz w:val="22"/>
          <w:szCs w:val="22"/>
        </w:rPr>
        <w:t>oku</w:t>
      </w:r>
      <w:r w:rsidRPr="00317DE2">
        <w:rPr>
          <w:rFonts w:cs="Arial"/>
          <w:sz w:val="22"/>
          <w:szCs w:val="22"/>
        </w:rPr>
        <w:t>, co  jest bardzo pozytywnym trendem.</w:t>
      </w:r>
    </w:p>
    <w:p w14:paraId="6FBF4FEC" w14:textId="7EBC23DE" w:rsidR="001676E4" w:rsidRPr="0054713D" w:rsidRDefault="001676E4" w:rsidP="001676E4">
      <w:pPr>
        <w:pStyle w:val="Legenda"/>
        <w:keepNext/>
        <w:rPr>
          <w:sz w:val="20"/>
          <w:szCs w:val="16"/>
        </w:rPr>
      </w:pPr>
      <w:bookmarkStart w:id="86" w:name="_Toc214279703"/>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18</w:t>
      </w:r>
      <w:r w:rsidRPr="0054713D">
        <w:rPr>
          <w:sz w:val="20"/>
          <w:szCs w:val="16"/>
        </w:rPr>
        <w:fldChar w:fldCharType="end"/>
      </w:r>
      <w:r w:rsidRPr="0054713D">
        <w:rPr>
          <w:sz w:val="20"/>
          <w:szCs w:val="16"/>
        </w:rPr>
        <w:t>. Liczba zatruć NSP/ŚZ w Polsce w latach 2021-2023  z podziałem na województwa</w:t>
      </w:r>
      <w:bookmarkEnd w:id="86"/>
    </w:p>
    <w:tbl>
      <w:tblPr>
        <w:tblStyle w:val="Tabelasiatki1jasnaakcent11"/>
        <w:tblW w:w="87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825"/>
        <w:gridCol w:w="1275"/>
        <w:gridCol w:w="1134"/>
        <w:gridCol w:w="1134"/>
        <w:gridCol w:w="1418"/>
      </w:tblGrid>
      <w:tr w:rsidR="001676E4" w:rsidRPr="0054713D" w14:paraId="4F871791" w14:textId="77777777" w:rsidTr="003D66E5">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825" w:type="dxa"/>
            <w:tcBorders>
              <w:bottom w:val="none" w:sz="0" w:space="0" w:color="auto"/>
            </w:tcBorders>
            <w:shd w:val="clear" w:color="auto" w:fill="FFFFFF" w:themeFill="background1"/>
          </w:tcPr>
          <w:p w14:paraId="196A1356" w14:textId="77777777" w:rsidR="001676E4" w:rsidRPr="0054713D" w:rsidRDefault="001676E4" w:rsidP="003D66E5">
            <w:pPr>
              <w:spacing w:line="360" w:lineRule="auto"/>
              <w:jc w:val="center"/>
              <w:rPr>
                <w:rFonts w:cs="Arial"/>
                <w:sz w:val="20"/>
              </w:rPr>
            </w:pPr>
            <w:r w:rsidRPr="0054713D">
              <w:rPr>
                <w:rFonts w:cs="Arial"/>
                <w:sz w:val="20"/>
              </w:rPr>
              <w:t>Województwo</w:t>
            </w:r>
          </w:p>
        </w:tc>
        <w:tc>
          <w:tcPr>
            <w:tcW w:w="1275" w:type="dxa"/>
            <w:tcBorders>
              <w:bottom w:val="none" w:sz="0" w:space="0" w:color="auto"/>
            </w:tcBorders>
            <w:shd w:val="clear" w:color="auto" w:fill="FFFFFF" w:themeFill="background1"/>
            <w:vAlign w:val="center"/>
          </w:tcPr>
          <w:p w14:paraId="157494CC" w14:textId="77777777" w:rsidR="001676E4" w:rsidRPr="0054713D" w:rsidRDefault="001676E4" w:rsidP="003D66E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4713D">
              <w:rPr>
                <w:rFonts w:cs="Arial"/>
                <w:sz w:val="20"/>
              </w:rPr>
              <w:t>2021</w:t>
            </w:r>
          </w:p>
        </w:tc>
        <w:tc>
          <w:tcPr>
            <w:tcW w:w="1134" w:type="dxa"/>
            <w:tcBorders>
              <w:bottom w:val="none" w:sz="0" w:space="0" w:color="auto"/>
            </w:tcBorders>
            <w:shd w:val="clear" w:color="auto" w:fill="FFFFFF" w:themeFill="background1"/>
            <w:vAlign w:val="center"/>
          </w:tcPr>
          <w:p w14:paraId="347D25AF" w14:textId="77777777" w:rsidR="001676E4" w:rsidRPr="0054713D" w:rsidRDefault="001676E4" w:rsidP="003D66E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4713D">
              <w:rPr>
                <w:rFonts w:cs="Arial"/>
                <w:sz w:val="20"/>
              </w:rPr>
              <w:t>2022</w:t>
            </w:r>
          </w:p>
        </w:tc>
        <w:tc>
          <w:tcPr>
            <w:tcW w:w="1134" w:type="dxa"/>
            <w:tcBorders>
              <w:bottom w:val="none" w:sz="0" w:space="0" w:color="auto"/>
            </w:tcBorders>
            <w:shd w:val="clear" w:color="auto" w:fill="FFFFFF" w:themeFill="background1"/>
            <w:vAlign w:val="center"/>
          </w:tcPr>
          <w:p w14:paraId="401B80AB" w14:textId="77777777" w:rsidR="001676E4" w:rsidRPr="0054713D" w:rsidRDefault="001676E4" w:rsidP="003D66E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4713D">
              <w:rPr>
                <w:rFonts w:cs="Arial"/>
                <w:sz w:val="20"/>
              </w:rPr>
              <w:t>2023</w:t>
            </w:r>
          </w:p>
        </w:tc>
        <w:tc>
          <w:tcPr>
            <w:tcW w:w="1418" w:type="dxa"/>
            <w:tcBorders>
              <w:bottom w:val="none" w:sz="0" w:space="0" w:color="auto"/>
            </w:tcBorders>
            <w:shd w:val="clear" w:color="auto" w:fill="FFFFFF" w:themeFill="background1"/>
            <w:vAlign w:val="center"/>
          </w:tcPr>
          <w:p w14:paraId="7A23EEA5" w14:textId="77777777" w:rsidR="001676E4" w:rsidRPr="0054713D" w:rsidRDefault="001676E4" w:rsidP="003D66E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4713D">
              <w:rPr>
                <w:rFonts w:cs="Arial"/>
                <w:sz w:val="20"/>
              </w:rPr>
              <w:t>Razem</w:t>
            </w:r>
          </w:p>
        </w:tc>
      </w:tr>
      <w:tr w:rsidR="001676E4" w:rsidRPr="0054713D" w14:paraId="4A7445FE"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0C9FF79C"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dolnośląskie</w:t>
            </w:r>
          </w:p>
        </w:tc>
        <w:tc>
          <w:tcPr>
            <w:tcW w:w="1275" w:type="dxa"/>
            <w:shd w:val="clear" w:color="auto" w:fill="FFFFFF" w:themeFill="background1"/>
            <w:vAlign w:val="center"/>
          </w:tcPr>
          <w:p w14:paraId="6FEADEA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29</w:t>
            </w:r>
          </w:p>
        </w:tc>
        <w:tc>
          <w:tcPr>
            <w:tcW w:w="1134" w:type="dxa"/>
            <w:shd w:val="clear" w:color="auto" w:fill="FFFFFF" w:themeFill="background1"/>
            <w:vAlign w:val="center"/>
          </w:tcPr>
          <w:p w14:paraId="206CBBB5"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19</w:t>
            </w:r>
          </w:p>
        </w:tc>
        <w:tc>
          <w:tcPr>
            <w:tcW w:w="1134" w:type="dxa"/>
            <w:shd w:val="clear" w:color="auto" w:fill="FFFFFF" w:themeFill="background1"/>
            <w:vAlign w:val="center"/>
          </w:tcPr>
          <w:p w14:paraId="0669DF2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7</w:t>
            </w:r>
          </w:p>
        </w:tc>
        <w:tc>
          <w:tcPr>
            <w:tcW w:w="1418" w:type="dxa"/>
            <w:shd w:val="clear" w:color="auto" w:fill="FFFFFF" w:themeFill="background1"/>
            <w:vAlign w:val="center"/>
          </w:tcPr>
          <w:p w14:paraId="26A2B130"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55</w:t>
            </w:r>
          </w:p>
        </w:tc>
      </w:tr>
      <w:tr w:rsidR="001676E4" w:rsidRPr="0054713D" w14:paraId="1A05317F"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69AE0D05"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kujawsko-pomorskie</w:t>
            </w:r>
          </w:p>
        </w:tc>
        <w:tc>
          <w:tcPr>
            <w:tcW w:w="1275" w:type="dxa"/>
            <w:shd w:val="clear" w:color="auto" w:fill="FFFFFF" w:themeFill="background1"/>
            <w:vAlign w:val="center"/>
          </w:tcPr>
          <w:p w14:paraId="55365A4C"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23</w:t>
            </w:r>
          </w:p>
        </w:tc>
        <w:tc>
          <w:tcPr>
            <w:tcW w:w="1134" w:type="dxa"/>
            <w:shd w:val="clear" w:color="auto" w:fill="FFFFFF" w:themeFill="background1"/>
            <w:vAlign w:val="center"/>
          </w:tcPr>
          <w:p w14:paraId="2132FB84"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19</w:t>
            </w:r>
          </w:p>
        </w:tc>
        <w:tc>
          <w:tcPr>
            <w:tcW w:w="1134" w:type="dxa"/>
            <w:shd w:val="clear" w:color="auto" w:fill="FFFFFF" w:themeFill="background1"/>
            <w:vAlign w:val="center"/>
          </w:tcPr>
          <w:p w14:paraId="3BE7ABA1"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16</w:t>
            </w:r>
          </w:p>
        </w:tc>
        <w:tc>
          <w:tcPr>
            <w:tcW w:w="1418" w:type="dxa"/>
            <w:shd w:val="clear" w:color="auto" w:fill="FFFFFF" w:themeFill="background1"/>
            <w:vAlign w:val="center"/>
          </w:tcPr>
          <w:p w14:paraId="41B00D90"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58</w:t>
            </w:r>
          </w:p>
        </w:tc>
      </w:tr>
      <w:tr w:rsidR="001676E4" w:rsidRPr="0054713D" w14:paraId="0722F428"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544882FE"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lubelskie</w:t>
            </w:r>
          </w:p>
        </w:tc>
        <w:tc>
          <w:tcPr>
            <w:tcW w:w="1275" w:type="dxa"/>
            <w:shd w:val="clear" w:color="auto" w:fill="FFFFFF" w:themeFill="background1"/>
            <w:vAlign w:val="center"/>
          </w:tcPr>
          <w:p w14:paraId="7CD62A67"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10</w:t>
            </w:r>
          </w:p>
        </w:tc>
        <w:tc>
          <w:tcPr>
            <w:tcW w:w="1134" w:type="dxa"/>
            <w:shd w:val="clear" w:color="auto" w:fill="FFFFFF" w:themeFill="background1"/>
            <w:vAlign w:val="center"/>
          </w:tcPr>
          <w:p w14:paraId="3F25B35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w:t>
            </w:r>
          </w:p>
        </w:tc>
        <w:tc>
          <w:tcPr>
            <w:tcW w:w="1134" w:type="dxa"/>
            <w:shd w:val="clear" w:color="auto" w:fill="FFFFFF" w:themeFill="background1"/>
            <w:vAlign w:val="center"/>
          </w:tcPr>
          <w:p w14:paraId="245E0F9C"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0</w:t>
            </w:r>
          </w:p>
        </w:tc>
        <w:tc>
          <w:tcPr>
            <w:tcW w:w="1418" w:type="dxa"/>
            <w:shd w:val="clear" w:color="auto" w:fill="FFFFFF" w:themeFill="background1"/>
            <w:vAlign w:val="center"/>
          </w:tcPr>
          <w:p w14:paraId="4789A8F1"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12</w:t>
            </w:r>
          </w:p>
        </w:tc>
      </w:tr>
      <w:tr w:rsidR="001676E4" w:rsidRPr="0054713D" w14:paraId="0E8AA1D9"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62FD4466"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lubuskie</w:t>
            </w:r>
          </w:p>
        </w:tc>
        <w:tc>
          <w:tcPr>
            <w:tcW w:w="1275" w:type="dxa"/>
            <w:shd w:val="clear" w:color="auto" w:fill="FFFFFF" w:themeFill="background1"/>
            <w:vAlign w:val="center"/>
          </w:tcPr>
          <w:p w14:paraId="2935DACB"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w:t>
            </w:r>
          </w:p>
        </w:tc>
        <w:tc>
          <w:tcPr>
            <w:tcW w:w="1134" w:type="dxa"/>
            <w:shd w:val="clear" w:color="auto" w:fill="FFFFFF" w:themeFill="background1"/>
            <w:vAlign w:val="center"/>
          </w:tcPr>
          <w:p w14:paraId="12175A24"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15</w:t>
            </w:r>
          </w:p>
        </w:tc>
        <w:tc>
          <w:tcPr>
            <w:tcW w:w="1134" w:type="dxa"/>
            <w:shd w:val="clear" w:color="auto" w:fill="FFFFFF" w:themeFill="background1"/>
            <w:vAlign w:val="center"/>
          </w:tcPr>
          <w:p w14:paraId="24E9D9FE"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36</w:t>
            </w:r>
          </w:p>
        </w:tc>
        <w:tc>
          <w:tcPr>
            <w:tcW w:w="1418" w:type="dxa"/>
            <w:shd w:val="clear" w:color="auto" w:fill="FFFFFF" w:themeFill="background1"/>
            <w:vAlign w:val="center"/>
          </w:tcPr>
          <w:p w14:paraId="3A5CA09E"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52</w:t>
            </w:r>
          </w:p>
        </w:tc>
      </w:tr>
      <w:tr w:rsidR="001676E4" w:rsidRPr="0054713D" w14:paraId="23663249"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776FAA24"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łódzkie</w:t>
            </w:r>
          </w:p>
        </w:tc>
        <w:tc>
          <w:tcPr>
            <w:tcW w:w="1275" w:type="dxa"/>
            <w:shd w:val="clear" w:color="auto" w:fill="FFFFFF" w:themeFill="background1"/>
            <w:vAlign w:val="center"/>
          </w:tcPr>
          <w:p w14:paraId="11DF1CA5"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187</w:t>
            </w:r>
          </w:p>
        </w:tc>
        <w:tc>
          <w:tcPr>
            <w:tcW w:w="1134" w:type="dxa"/>
            <w:shd w:val="clear" w:color="auto" w:fill="FFFFFF" w:themeFill="background1"/>
            <w:vAlign w:val="center"/>
          </w:tcPr>
          <w:p w14:paraId="375A9945"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47</w:t>
            </w:r>
          </w:p>
        </w:tc>
        <w:tc>
          <w:tcPr>
            <w:tcW w:w="1134" w:type="dxa"/>
            <w:shd w:val="clear" w:color="auto" w:fill="FFFFFF" w:themeFill="background1"/>
            <w:vAlign w:val="center"/>
          </w:tcPr>
          <w:p w14:paraId="29B6AFCE"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28</w:t>
            </w:r>
          </w:p>
        </w:tc>
        <w:tc>
          <w:tcPr>
            <w:tcW w:w="1418" w:type="dxa"/>
            <w:shd w:val="clear" w:color="auto" w:fill="FFFFFF" w:themeFill="background1"/>
            <w:vAlign w:val="center"/>
          </w:tcPr>
          <w:p w14:paraId="60832D1A"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262</w:t>
            </w:r>
          </w:p>
        </w:tc>
      </w:tr>
      <w:tr w:rsidR="001676E4" w:rsidRPr="0054713D" w14:paraId="33942CF9"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22A3ED51"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małopolskie</w:t>
            </w:r>
          </w:p>
        </w:tc>
        <w:tc>
          <w:tcPr>
            <w:tcW w:w="1275" w:type="dxa"/>
            <w:shd w:val="clear" w:color="auto" w:fill="FFFFFF" w:themeFill="background1"/>
            <w:vAlign w:val="center"/>
          </w:tcPr>
          <w:p w14:paraId="05D40B41"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39</w:t>
            </w:r>
          </w:p>
        </w:tc>
        <w:tc>
          <w:tcPr>
            <w:tcW w:w="1134" w:type="dxa"/>
            <w:shd w:val="clear" w:color="auto" w:fill="FFFFFF" w:themeFill="background1"/>
            <w:vAlign w:val="center"/>
          </w:tcPr>
          <w:p w14:paraId="32C07363"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73</w:t>
            </w:r>
          </w:p>
        </w:tc>
        <w:tc>
          <w:tcPr>
            <w:tcW w:w="1134" w:type="dxa"/>
            <w:shd w:val="clear" w:color="auto" w:fill="FFFFFF" w:themeFill="background1"/>
            <w:vAlign w:val="center"/>
          </w:tcPr>
          <w:p w14:paraId="1C176E57"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61</w:t>
            </w:r>
          </w:p>
        </w:tc>
        <w:tc>
          <w:tcPr>
            <w:tcW w:w="1418" w:type="dxa"/>
            <w:shd w:val="clear" w:color="auto" w:fill="FFFFFF" w:themeFill="background1"/>
            <w:vAlign w:val="center"/>
          </w:tcPr>
          <w:p w14:paraId="49F0BD1F"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173</w:t>
            </w:r>
          </w:p>
        </w:tc>
      </w:tr>
      <w:tr w:rsidR="001676E4" w:rsidRPr="0054713D" w14:paraId="63A6DCD3"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568E16B6"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lastRenderedPageBreak/>
              <w:t>mazowieckie</w:t>
            </w:r>
          </w:p>
        </w:tc>
        <w:tc>
          <w:tcPr>
            <w:tcW w:w="1275" w:type="dxa"/>
            <w:shd w:val="clear" w:color="auto" w:fill="FFFFFF" w:themeFill="background1"/>
            <w:vAlign w:val="center"/>
          </w:tcPr>
          <w:p w14:paraId="240A1E2F"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12</w:t>
            </w:r>
          </w:p>
        </w:tc>
        <w:tc>
          <w:tcPr>
            <w:tcW w:w="1134" w:type="dxa"/>
            <w:shd w:val="clear" w:color="auto" w:fill="FFFFFF" w:themeFill="background1"/>
            <w:vAlign w:val="center"/>
          </w:tcPr>
          <w:p w14:paraId="3334B14A"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13</w:t>
            </w:r>
          </w:p>
        </w:tc>
        <w:tc>
          <w:tcPr>
            <w:tcW w:w="1134" w:type="dxa"/>
            <w:shd w:val="clear" w:color="auto" w:fill="FFFFFF" w:themeFill="background1"/>
            <w:vAlign w:val="center"/>
          </w:tcPr>
          <w:p w14:paraId="078230EA"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4</w:t>
            </w:r>
          </w:p>
        </w:tc>
        <w:tc>
          <w:tcPr>
            <w:tcW w:w="1418" w:type="dxa"/>
            <w:shd w:val="clear" w:color="auto" w:fill="FFFFFF" w:themeFill="background1"/>
            <w:vAlign w:val="center"/>
          </w:tcPr>
          <w:p w14:paraId="289B29FF"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29</w:t>
            </w:r>
          </w:p>
        </w:tc>
      </w:tr>
      <w:tr w:rsidR="001676E4" w:rsidRPr="0054713D" w14:paraId="214B2E6C"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1372658B"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opolskie</w:t>
            </w:r>
          </w:p>
        </w:tc>
        <w:tc>
          <w:tcPr>
            <w:tcW w:w="1275" w:type="dxa"/>
            <w:shd w:val="clear" w:color="auto" w:fill="FFFFFF" w:themeFill="background1"/>
            <w:vAlign w:val="center"/>
          </w:tcPr>
          <w:p w14:paraId="26AE45A3"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w:t>
            </w:r>
          </w:p>
        </w:tc>
        <w:tc>
          <w:tcPr>
            <w:tcW w:w="1134" w:type="dxa"/>
            <w:shd w:val="clear" w:color="auto" w:fill="FFFFFF" w:themeFill="background1"/>
            <w:vAlign w:val="center"/>
          </w:tcPr>
          <w:p w14:paraId="06B24447"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w:t>
            </w:r>
          </w:p>
        </w:tc>
        <w:tc>
          <w:tcPr>
            <w:tcW w:w="1134" w:type="dxa"/>
            <w:shd w:val="clear" w:color="auto" w:fill="FFFFFF" w:themeFill="background1"/>
            <w:vAlign w:val="center"/>
          </w:tcPr>
          <w:p w14:paraId="7FF204E5"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0</w:t>
            </w:r>
          </w:p>
        </w:tc>
        <w:tc>
          <w:tcPr>
            <w:tcW w:w="1418" w:type="dxa"/>
            <w:shd w:val="clear" w:color="auto" w:fill="FFFFFF" w:themeFill="background1"/>
            <w:vAlign w:val="center"/>
          </w:tcPr>
          <w:p w14:paraId="02B2D2BC"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3</w:t>
            </w:r>
          </w:p>
        </w:tc>
      </w:tr>
      <w:tr w:rsidR="001676E4" w:rsidRPr="0054713D" w14:paraId="3BE1CC71"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5C409A96"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podkarpackie</w:t>
            </w:r>
          </w:p>
        </w:tc>
        <w:tc>
          <w:tcPr>
            <w:tcW w:w="1275" w:type="dxa"/>
            <w:shd w:val="clear" w:color="auto" w:fill="FFFFFF" w:themeFill="background1"/>
            <w:vAlign w:val="center"/>
          </w:tcPr>
          <w:p w14:paraId="3577438F"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w:t>
            </w:r>
          </w:p>
        </w:tc>
        <w:tc>
          <w:tcPr>
            <w:tcW w:w="1134" w:type="dxa"/>
            <w:shd w:val="clear" w:color="auto" w:fill="FFFFFF" w:themeFill="background1"/>
            <w:vAlign w:val="center"/>
          </w:tcPr>
          <w:p w14:paraId="3B67A156"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0</w:t>
            </w:r>
          </w:p>
        </w:tc>
        <w:tc>
          <w:tcPr>
            <w:tcW w:w="1134" w:type="dxa"/>
            <w:shd w:val="clear" w:color="auto" w:fill="FFFFFF" w:themeFill="background1"/>
            <w:vAlign w:val="center"/>
          </w:tcPr>
          <w:p w14:paraId="11A538A9"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w:t>
            </w:r>
          </w:p>
        </w:tc>
        <w:tc>
          <w:tcPr>
            <w:tcW w:w="1418" w:type="dxa"/>
            <w:shd w:val="clear" w:color="auto" w:fill="FFFFFF" w:themeFill="background1"/>
            <w:vAlign w:val="center"/>
          </w:tcPr>
          <w:p w14:paraId="0A7B6BC3"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w:t>
            </w:r>
          </w:p>
        </w:tc>
      </w:tr>
      <w:tr w:rsidR="001676E4" w:rsidRPr="0054713D" w14:paraId="5D63B536"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606CD228"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podlaskie</w:t>
            </w:r>
          </w:p>
        </w:tc>
        <w:tc>
          <w:tcPr>
            <w:tcW w:w="1275" w:type="dxa"/>
            <w:shd w:val="clear" w:color="auto" w:fill="FFFFFF" w:themeFill="background1"/>
            <w:vAlign w:val="center"/>
          </w:tcPr>
          <w:p w14:paraId="49C730D5"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w:t>
            </w:r>
          </w:p>
        </w:tc>
        <w:tc>
          <w:tcPr>
            <w:tcW w:w="1134" w:type="dxa"/>
            <w:shd w:val="clear" w:color="auto" w:fill="FFFFFF" w:themeFill="background1"/>
            <w:vAlign w:val="center"/>
          </w:tcPr>
          <w:p w14:paraId="79A92F3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w:t>
            </w:r>
          </w:p>
        </w:tc>
        <w:tc>
          <w:tcPr>
            <w:tcW w:w="1134" w:type="dxa"/>
            <w:shd w:val="clear" w:color="auto" w:fill="FFFFFF" w:themeFill="background1"/>
            <w:vAlign w:val="center"/>
          </w:tcPr>
          <w:p w14:paraId="6A85815C"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3</w:t>
            </w:r>
          </w:p>
        </w:tc>
        <w:tc>
          <w:tcPr>
            <w:tcW w:w="1418" w:type="dxa"/>
            <w:shd w:val="clear" w:color="auto" w:fill="FFFFFF" w:themeFill="background1"/>
            <w:vAlign w:val="center"/>
          </w:tcPr>
          <w:p w14:paraId="1EC096BE"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13</w:t>
            </w:r>
          </w:p>
        </w:tc>
      </w:tr>
      <w:tr w:rsidR="001676E4" w:rsidRPr="0054713D" w14:paraId="1A2E04D6"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552BCFAD"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pomorskie</w:t>
            </w:r>
          </w:p>
        </w:tc>
        <w:tc>
          <w:tcPr>
            <w:tcW w:w="1275" w:type="dxa"/>
            <w:shd w:val="clear" w:color="auto" w:fill="FFFFFF" w:themeFill="background1"/>
            <w:vAlign w:val="center"/>
          </w:tcPr>
          <w:p w14:paraId="0CCB11BE"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13</w:t>
            </w:r>
          </w:p>
        </w:tc>
        <w:tc>
          <w:tcPr>
            <w:tcW w:w="1134" w:type="dxa"/>
            <w:shd w:val="clear" w:color="auto" w:fill="FFFFFF" w:themeFill="background1"/>
            <w:vAlign w:val="center"/>
          </w:tcPr>
          <w:p w14:paraId="65745D1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6</w:t>
            </w:r>
          </w:p>
        </w:tc>
        <w:tc>
          <w:tcPr>
            <w:tcW w:w="1134" w:type="dxa"/>
            <w:shd w:val="clear" w:color="auto" w:fill="FFFFFF" w:themeFill="background1"/>
            <w:vAlign w:val="center"/>
          </w:tcPr>
          <w:p w14:paraId="3C244EF7"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6</w:t>
            </w:r>
          </w:p>
        </w:tc>
        <w:tc>
          <w:tcPr>
            <w:tcW w:w="1418" w:type="dxa"/>
            <w:shd w:val="clear" w:color="auto" w:fill="FFFFFF" w:themeFill="background1"/>
            <w:vAlign w:val="center"/>
          </w:tcPr>
          <w:p w14:paraId="57F62D20"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25</w:t>
            </w:r>
          </w:p>
        </w:tc>
      </w:tr>
      <w:tr w:rsidR="001676E4" w:rsidRPr="0054713D" w14:paraId="0560FF68"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727C41E8"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śląskie</w:t>
            </w:r>
          </w:p>
        </w:tc>
        <w:tc>
          <w:tcPr>
            <w:tcW w:w="1275" w:type="dxa"/>
            <w:shd w:val="clear" w:color="auto" w:fill="FFFFFF" w:themeFill="background1"/>
            <w:vAlign w:val="center"/>
          </w:tcPr>
          <w:p w14:paraId="23F95C04"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45</w:t>
            </w:r>
          </w:p>
        </w:tc>
        <w:tc>
          <w:tcPr>
            <w:tcW w:w="1134" w:type="dxa"/>
            <w:shd w:val="clear" w:color="auto" w:fill="FFFFFF" w:themeFill="background1"/>
            <w:vAlign w:val="center"/>
          </w:tcPr>
          <w:p w14:paraId="304BCD50"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16</w:t>
            </w:r>
          </w:p>
        </w:tc>
        <w:tc>
          <w:tcPr>
            <w:tcW w:w="1134" w:type="dxa"/>
            <w:shd w:val="clear" w:color="auto" w:fill="FFFFFF" w:themeFill="background1"/>
            <w:vAlign w:val="center"/>
          </w:tcPr>
          <w:p w14:paraId="671030F4"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56</w:t>
            </w:r>
          </w:p>
        </w:tc>
        <w:tc>
          <w:tcPr>
            <w:tcW w:w="1418" w:type="dxa"/>
            <w:shd w:val="clear" w:color="auto" w:fill="FFFFFF" w:themeFill="background1"/>
            <w:vAlign w:val="center"/>
          </w:tcPr>
          <w:p w14:paraId="7332F800"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117</w:t>
            </w:r>
          </w:p>
        </w:tc>
      </w:tr>
      <w:tr w:rsidR="001676E4" w:rsidRPr="0054713D" w14:paraId="7BC69258"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7532DF5E"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świętokrzyskie</w:t>
            </w:r>
          </w:p>
        </w:tc>
        <w:tc>
          <w:tcPr>
            <w:tcW w:w="1275" w:type="dxa"/>
            <w:shd w:val="clear" w:color="auto" w:fill="FFFFFF" w:themeFill="background1"/>
            <w:vAlign w:val="center"/>
          </w:tcPr>
          <w:p w14:paraId="3BB007E5"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7</w:t>
            </w:r>
          </w:p>
        </w:tc>
        <w:tc>
          <w:tcPr>
            <w:tcW w:w="1134" w:type="dxa"/>
            <w:shd w:val="clear" w:color="auto" w:fill="FFFFFF" w:themeFill="background1"/>
            <w:vAlign w:val="center"/>
          </w:tcPr>
          <w:p w14:paraId="6B2BA1A6"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w:t>
            </w:r>
          </w:p>
        </w:tc>
        <w:tc>
          <w:tcPr>
            <w:tcW w:w="1134" w:type="dxa"/>
            <w:shd w:val="clear" w:color="auto" w:fill="FFFFFF" w:themeFill="background1"/>
            <w:vAlign w:val="center"/>
          </w:tcPr>
          <w:p w14:paraId="03E545C2"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w:t>
            </w:r>
          </w:p>
        </w:tc>
        <w:tc>
          <w:tcPr>
            <w:tcW w:w="1418" w:type="dxa"/>
            <w:shd w:val="clear" w:color="auto" w:fill="FFFFFF" w:themeFill="background1"/>
            <w:vAlign w:val="center"/>
          </w:tcPr>
          <w:p w14:paraId="0DB1DF0C"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14</w:t>
            </w:r>
          </w:p>
        </w:tc>
      </w:tr>
      <w:tr w:rsidR="001676E4" w:rsidRPr="0054713D" w14:paraId="1A19E67D"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0BE922A6"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warmińsko-mazurskie</w:t>
            </w:r>
          </w:p>
        </w:tc>
        <w:tc>
          <w:tcPr>
            <w:tcW w:w="1275" w:type="dxa"/>
            <w:shd w:val="clear" w:color="auto" w:fill="FFFFFF" w:themeFill="background1"/>
            <w:vAlign w:val="center"/>
          </w:tcPr>
          <w:p w14:paraId="09E2E45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w:t>
            </w:r>
          </w:p>
        </w:tc>
        <w:tc>
          <w:tcPr>
            <w:tcW w:w="1134" w:type="dxa"/>
            <w:shd w:val="clear" w:color="auto" w:fill="FFFFFF" w:themeFill="background1"/>
            <w:vAlign w:val="center"/>
          </w:tcPr>
          <w:p w14:paraId="605EB39F"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w:t>
            </w:r>
          </w:p>
        </w:tc>
        <w:tc>
          <w:tcPr>
            <w:tcW w:w="1134" w:type="dxa"/>
            <w:shd w:val="clear" w:color="auto" w:fill="FFFFFF" w:themeFill="background1"/>
            <w:vAlign w:val="center"/>
          </w:tcPr>
          <w:p w14:paraId="2C1DC8AF"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2</w:t>
            </w:r>
          </w:p>
        </w:tc>
        <w:tc>
          <w:tcPr>
            <w:tcW w:w="1418" w:type="dxa"/>
            <w:shd w:val="clear" w:color="auto" w:fill="FFFFFF" w:themeFill="background1"/>
            <w:vAlign w:val="center"/>
          </w:tcPr>
          <w:p w14:paraId="0DA8A6F6"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5</w:t>
            </w:r>
          </w:p>
        </w:tc>
      </w:tr>
      <w:tr w:rsidR="001676E4" w:rsidRPr="0054713D" w14:paraId="31322B4D"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6EAC08F2"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wielkopolskie</w:t>
            </w:r>
          </w:p>
        </w:tc>
        <w:tc>
          <w:tcPr>
            <w:tcW w:w="1275" w:type="dxa"/>
            <w:shd w:val="clear" w:color="auto" w:fill="FFFFFF" w:themeFill="background1"/>
            <w:vAlign w:val="center"/>
          </w:tcPr>
          <w:p w14:paraId="58E02D50"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109</w:t>
            </w:r>
          </w:p>
        </w:tc>
        <w:tc>
          <w:tcPr>
            <w:tcW w:w="1134" w:type="dxa"/>
            <w:shd w:val="clear" w:color="auto" w:fill="FFFFFF" w:themeFill="background1"/>
            <w:vAlign w:val="center"/>
          </w:tcPr>
          <w:p w14:paraId="2B374A94"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72</w:t>
            </w:r>
          </w:p>
        </w:tc>
        <w:tc>
          <w:tcPr>
            <w:tcW w:w="1134" w:type="dxa"/>
            <w:shd w:val="clear" w:color="auto" w:fill="FFFFFF" w:themeFill="background1"/>
            <w:vAlign w:val="center"/>
          </w:tcPr>
          <w:p w14:paraId="0334D48E"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54713D">
              <w:rPr>
                <w:rFonts w:cs="Arial"/>
                <w:color w:val="000000" w:themeColor="text1"/>
                <w:sz w:val="20"/>
              </w:rPr>
              <w:t>27</w:t>
            </w:r>
          </w:p>
        </w:tc>
        <w:tc>
          <w:tcPr>
            <w:tcW w:w="1418" w:type="dxa"/>
            <w:shd w:val="clear" w:color="auto" w:fill="FFFFFF" w:themeFill="background1"/>
            <w:vAlign w:val="center"/>
          </w:tcPr>
          <w:p w14:paraId="1CCAF553"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54713D">
              <w:rPr>
                <w:rFonts w:cs="Arial"/>
                <w:color w:val="000000" w:themeColor="text1"/>
                <w:sz w:val="20"/>
              </w:rPr>
              <w:t>208</w:t>
            </w:r>
          </w:p>
        </w:tc>
      </w:tr>
      <w:tr w:rsidR="001676E4" w:rsidRPr="0054713D" w14:paraId="2B45C632"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6CB3F1A7" w14:textId="77777777" w:rsidR="001676E4" w:rsidRPr="0054713D" w:rsidRDefault="001676E4" w:rsidP="003D66E5">
            <w:pPr>
              <w:spacing w:line="360" w:lineRule="auto"/>
              <w:jc w:val="center"/>
              <w:rPr>
                <w:rFonts w:cs="Arial"/>
                <w:b w:val="0"/>
                <w:bCs w:val="0"/>
                <w:sz w:val="20"/>
              </w:rPr>
            </w:pPr>
            <w:r w:rsidRPr="0054713D">
              <w:rPr>
                <w:rFonts w:cs="Arial"/>
                <w:b w:val="0"/>
                <w:bCs w:val="0"/>
                <w:sz w:val="20"/>
              </w:rPr>
              <w:t>zachodniopomorskie</w:t>
            </w:r>
          </w:p>
        </w:tc>
        <w:tc>
          <w:tcPr>
            <w:tcW w:w="1275" w:type="dxa"/>
            <w:shd w:val="clear" w:color="auto" w:fill="FFFFFF" w:themeFill="background1"/>
            <w:vAlign w:val="center"/>
          </w:tcPr>
          <w:p w14:paraId="4E4A74D9"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34</w:t>
            </w:r>
          </w:p>
        </w:tc>
        <w:tc>
          <w:tcPr>
            <w:tcW w:w="1134" w:type="dxa"/>
            <w:shd w:val="clear" w:color="auto" w:fill="FFFFFF" w:themeFill="background1"/>
            <w:vAlign w:val="center"/>
          </w:tcPr>
          <w:p w14:paraId="1971994D"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sz w:val="20"/>
              </w:rPr>
            </w:pPr>
            <w:r w:rsidRPr="0054713D">
              <w:rPr>
                <w:rFonts w:cs="Arial"/>
                <w:sz w:val="20"/>
              </w:rPr>
              <w:t>10</w:t>
            </w:r>
          </w:p>
        </w:tc>
        <w:tc>
          <w:tcPr>
            <w:tcW w:w="1134" w:type="dxa"/>
            <w:shd w:val="clear" w:color="auto" w:fill="FFFFFF" w:themeFill="background1"/>
            <w:vAlign w:val="center"/>
          </w:tcPr>
          <w:p w14:paraId="3612EB1A"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54713D">
              <w:rPr>
                <w:rFonts w:cs="Arial"/>
                <w:color w:val="000000" w:themeColor="text1"/>
                <w:sz w:val="20"/>
              </w:rPr>
              <w:t>12</w:t>
            </w:r>
          </w:p>
        </w:tc>
        <w:tc>
          <w:tcPr>
            <w:tcW w:w="1418" w:type="dxa"/>
            <w:shd w:val="clear" w:color="auto" w:fill="FFFFFF" w:themeFill="background1"/>
            <w:vAlign w:val="center"/>
          </w:tcPr>
          <w:p w14:paraId="0ED20CE8"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54713D">
              <w:rPr>
                <w:rFonts w:cs="Arial"/>
                <w:color w:val="000000" w:themeColor="text1"/>
                <w:sz w:val="20"/>
              </w:rPr>
              <w:t>56</w:t>
            </w:r>
          </w:p>
        </w:tc>
      </w:tr>
      <w:tr w:rsidR="001676E4" w:rsidRPr="0054713D" w14:paraId="37D07A3C" w14:textId="77777777" w:rsidTr="003D66E5">
        <w:trPr>
          <w:trHeight w:val="282"/>
        </w:trPr>
        <w:tc>
          <w:tcPr>
            <w:cnfStyle w:val="001000000000" w:firstRow="0" w:lastRow="0" w:firstColumn="1" w:lastColumn="0" w:oddVBand="0" w:evenVBand="0" w:oddHBand="0" w:evenHBand="0" w:firstRowFirstColumn="0" w:firstRowLastColumn="0" w:lastRowFirstColumn="0" w:lastRowLastColumn="0"/>
            <w:tcW w:w="3825" w:type="dxa"/>
            <w:shd w:val="clear" w:color="auto" w:fill="FFFFFF" w:themeFill="background1"/>
          </w:tcPr>
          <w:p w14:paraId="2ED1428F" w14:textId="77777777" w:rsidR="001676E4" w:rsidRPr="0054713D" w:rsidRDefault="001676E4" w:rsidP="003D66E5">
            <w:pPr>
              <w:spacing w:line="360" w:lineRule="auto"/>
              <w:jc w:val="center"/>
              <w:rPr>
                <w:rFonts w:cs="Arial"/>
                <w:b w:val="0"/>
                <w:sz w:val="20"/>
              </w:rPr>
            </w:pPr>
            <w:r w:rsidRPr="0054713D">
              <w:rPr>
                <w:rFonts w:cs="Arial"/>
                <w:sz w:val="20"/>
              </w:rPr>
              <w:t>RAZEM</w:t>
            </w:r>
          </w:p>
        </w:tc>
        <w:tc>
          <w:tcPr>
            <w:tcW w:w="1275" w:type="dxa"/>
            <w:shd w:val="clear" w:color="auto" w:fill="FFFFFF" w:themeFill="background1"/>
            <w:vAlign w:val="center"/>
          </w:tcPr>
          <w:p w14:paraId="2CF32BFC"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
                <w:sz w:val="20"/>
              </w:rPr>
            </w:pPr>
            <w:r w:rsidRPr="0054713D">
              <w:rPr>
                <w:rFonts w:cs="Arial"/>
                <w:b/>
                <w:sz w:val="20"/>
              </w:rPr>
              <w:t>517</w:t>
            </w:r>
          </w:p>
        </w:tc>
        <w:tc>
          <w:tcPr>
            <w:tcW w:w="1134" w:type="dxa"/>
            <w:shd w:val="clear" w:color="auto" w:fill="FFFFFF" w:themeFill="background1"/>
            <w:vAlign w:val="center"/>
          </w:tcPr>
          <w:p w14:paraId="07EB39B1"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
                <w:sz w:val="20"/>
              </w:rPr>
            </w:pPr>
            <w:r w:rsidRPr="0054713D">
              <w:rPr>
                <w:rFonts w:cs="Arial"/>
                <w:b/>
                <w:sz w:val="20"/>
              </w:rPr>
              <w:t>303</w:t>
            </w:r>
          </w:p>
        </w:tc>
        <w:tc>
          <w:tcPr>
            <w:tcW w:w="1134" w:type="dxa"/>
            <w:shd w:val="clear" w:color="auto" w:fill="FFFFFF" w:themeFill="background1"/>
            <w:vAlign w:val="center"/>
          </w:tcPr>
          <w:p w14:paraId="6610F84A"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r w:rsidRPr="0054713D">
              <w:rPr>
                <w:rFonts w:cs="Arial"/>
                <w:b/>
                <w:bCs/>
                <w:color w:val="000000" w:themeColor="text1"/>
                <w:sz w:val="20"/>
              </w:rPr>
              <w:t>264</w:t>
            </w:r>
          </w:p>
        </w:tc>
        <w:tc>
          <w:tcPr>
            <w:tcW w:w="1418" w:type="dxa"/>
            <w:shd w:val="clear" w:color="auto" w:fill="FFFFFF" w:themeFill="background1"/>
            <w:vAlign w:val="center"/>
          </w:tcPr>
          <w:p w14:paraId="3412298B" w14:textId="77777777" w:rsidR="001676E4" w:rsidRPr="0054713D" w:rsidRDefault="001676E4" w:rsidP="003D66E5">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r w:rsidRPr="0054713D">
              <w:rPr>
                <w:rFonts w:cs="Arial"/>
                <w:b/>
                <w:bCs/>
                <w:color w:val="000000" w:themeColor="text1"/>
                <w:sz w:val="20"/>
              </w:rPr>
              <w:t>1084</w:t>
            </w:r>
          </w:p>
        </w:tc>
      </w:tr>
    </w:tbl>
    <w:p w14:paraId="53EE273D" w14:textId="5BBCE1DF" w:rsidR="001676E4" w:rsidRPr="005952CC" w:rsidRDefault="001676E4" w:rsidP="001676E4">
      <w:pPr>
        <w:spacing w:after="120" w:line="240" w:lineRule="auto"/>
        <w:jc w:val="both"/>
        <w:rPr>
          <w:rFonts w:cs="Arial"/>
          <w:iCs/>
          <w:sz w:val="18"/>
          <w:szCs w:val="18"/>
        </w:rPr>
      </w:pPr>
      <w:r w:rsidRPr="005952CC">
        <w:rPr>
          <w:rFonts w:cs="Arial"/>
          <w:iCs/>
          <w:sz w:val="18"/>
          <w:szCs w:val="18"/>
        </w:rPr>
        <w:t>Źródło: Dane GIS 202</w:t>
      </w:r>
      <w:r w:rsidR="008141C9">
        <w:rPr>
          <w:rFonts w:cs="Arial"/>
          <w:iCs/>
          <w:sz w:val="18"/>
          <w:szCs w:val="18"/>
        </w:rPr>
        <w:t>3</w:t>
      </w:r>
      <w:r w:rsidRPr="005952CC">
        <w:rPr>
          <w:rFonts w:cs="Arial"/>
          <w:iCs/>
          <w:sz w:val="18"/>
          <w:szCs w:val="18"/>
        </w:rPr>
        <w:t xml:space="preserve"> r.</w:t>
      </w:r>
    </w:p>
    <w:p w14:paraId="72642806" w14:textId="77777777" w:rsidR="001676E4" w:rsidRPr="00317DE2" w:rsidRDefault="001676E4" w:rsidP="001676E4">
      <w:pPr>
        <w:spacing w:after="120" w:line="240" w:lineRule="auto"/>
        <w:jc w:val="both"/>
        <w:rPr>
          <w:rFonts w:cs="Arial"/>
          <w:iCs/>
          <w:sz w:val="22"/>
          <w:szCs w:val="22"/>
        </w:rPr>
      </w:pPr>
    </w:p>
    <w:p w14:paraId="0760585B" w14:textId="46821B29" w:rsidR="001676E4" w:rsidRPr="00317DE2" w:rsidRDefault="001676E4" w:rsidP="001676E4">
      <w:pPr>
        <w:spacing w:after="0" w:line="360" w:lineRule="auto"/>
        <w:ind w:firstLine="426"/>
        <w:jc w:val="both"/>
        <w:rPr>
          <w:rFonts w:cs="Arial"/>
          <w:sz w:val="22"/>
          <w:szCs w:val="22"/>
        </w:rPr>
      </w:pPr>
      <w:r w:rsidRPr="00317DE2">
        <w:rPr>
          <w:rFonts w:cs="Arial"/>
          <w:sz w:val="22"/>
          <w:szCs w:val="22"/>
        </w:rPr>
        <w:t>Środki zastępcze stwarzają poważne zagrożenie dla zdrowia i bezpieczeństwa publicznego przede wszystkim ze względu na brak pewności co do składu danego środka, i co za tym idzie, braku możliwości określenia ryzyka</w:t>
      </w:r>
      <w:r w:rsidR="008141C9">
        <w:rPr>
          <w:rFonts w:cs="Arial"/>
          <w:sz w:val="22"/>
          <w:szCs w:val="22"/>
        </w:rPr>
        <w:t>,</w:t>
      </w:r>
      <w:r w:rsidRPr="00317DE2">
        <w:rPr>
          <w:rFonts w:cs="Arial"/>
          <w:sz w:val="22"/>
          <w:szCs w:val="22"/>
        </w:rPr>
        <w:t xml:space="preserve"> jakie niesie dana substancja dla zdrowia. Należy stwierdzić znaczne wahania w zakresie zatruć NSP.</w:t>
      </w:r>
    </w:p>
    <w:p w14:paraId="162A5D5F" w14:textId="77BB1F6E" w:rsidR="001676E4" w:rsidRPr="00317DE2" w:rsidRDefault="001676E4" w:rsidP="001676E4">
      <w:pPr>
        <w:spacing w:after="0" w:line="360" w:lineRule="auto"/>
        <w:ind w:firstLine="426"/>
        <w:jc w:val="both"/>
        <w:rPr>
          <w:rFonts w:cs="Arial"/>
          <w:sz w:val="22"/>
          <w:szCs w:val="22"/>
        </w:rPr>
      </w:pPr>
      <w:r w:rsidRPr="00317DE2">
        <w:rPr>
          <w:rFonts w:cs="Arial"/>
          <w:sz w:val="22"/>
          <w:szCs w:val="22"/>
        </w:rPr>
        <w:t>Biorąc pod uwagę dynamikę zatruć ŚZ/NSP w Polsce na przestrzeni ostatnich 3 lat, tj. w</w:t>
      </w:r>
      <w:r>
        <w:rPr>
          <w:rFonts w:cs="Arial"/>
          <w:sz w:val="22"/>
          <w:szCs w:val="22"/>
        </w:rPr>
        <w:t> </w:t>
      </w:r>
      <w:r w:rsidRPr="00317DE2">
        <w:rPr>
          <w:rFonts w:cs="Arial"/>
          <w:sz w:val="22"/>
          <w:szCs w:val="22"/>
        </w:rPr>
        <w:t>latach 2021 – 2023, należy zauważyć, że liczba zatruć stale spadała i było to odpowiedni</w:t>
      </w:r>
      <w:r w:rsidR="00805548">
        <w:rPr>
          <w:rFonts w:cs="Arial"/>
          <w:sz w:val="22"/>
          <w:szCs w:val="22"/>
        </w:rPr>
        <w:t>o</w:t>
      </w:r>
      <w:r w:rsidRPr="00317DE2">
        <w:rPr>
          <w:rFonts w:cs="Arial"/>
          <w:sz w:val="22"/>
          <w:szCs w:val="22"/>
        </w:rPr>
        <w:t xml:space="preserve">: 517, 303 i 264. To bardzo dobra tendencja. </w:t>
      </w:r>
    </w:p>
    <w:p w14:paraId="724CD5D5" w14:textId="4574650C" w:rsidR="001676E4" w:rsidRPr="00317DE2" w:rsidRDefault="001676E4" w:rsidP="001676E4">
      <w:pPr>
        <w:spacing w:after="0" w:line="360" w:lineRule="auto"/>
        <w:ind w:firstLine="426"/>
        <w:jc w:val="both"/>
        <w:rPr>
          <w:rFonts w:cs="Arial"/>
          <w:sz w:val="22"/>
          <w:szCs w:val="22"/>
        </w:rPr>
      </w:pPr>
      <w:r w:rsidRPr="00317DE2">
        <w:rPr>
          <w:rFonts w:cs="Arial"/>
          <w:sz w:val="22"/>
          <w:szCs w:val="22"/>
        </w:rPr>
        <w:t>Poza wskaźnikiem w postaci wartości bezwzględnej ważn</w:t>
      </w:r>
      <w:r w:rsidR="00805548">
        <w:rPr>
          <w:rFonts w:cs="Arial"/>
          <w:sz w:val="22"/>
          <w:szCs w:val="22"/>
        </w:rPr>
        <w:t>y</w:t>
      </w:r>
      <w:r w:rsidRPr="00317DE2">
        <w:rPr>
          <w:rFonts w:cs="Arial"/>
          <w:sz w:val="22"/>
          <w:szCs w:val="22"/>
        </w:rPr>
        <w:t xml:space="preserve"> jest też wskaźnik zatruć ŚZ/NSP na 100 tys. mieszkańców. W raporcie GUS liczbę tę ustalono według stanu ludności na dzień 30 czerwca 2023 r</w:t>
      </w:r>
      <w:r w:rsidR="008141C9">
        <w:rPr>
          <w:rFonts w:cs="Arial"/>
          <w:sz w:val="22"/>
          <w:szCs w:val="22"/>
        </w:rPr>
        <w:t>oku</w:t>
      </w:r>
      <w:r w:rsidRPr="00317DE2">
        <w:rPr>
          <w:rFonts w:cs="Arial"/>
          <w:sz w:val="22"/>
          <w:szCs w:val="22"/>
        </w:rPr>
        <w:t>. Wskaźnik interwencji medycznych (</w:t>
      </w:r>
      <w:proofErr w:type="spellStart"/>
      <w:r w:rsidRPr="00317DE2">
        <w:rPr>
          <w:rFonts w:cs="Arial"/>
          <w:sz w:val="22"/>
          <w:szCs w:val="22"/>
        </w:rPr>
        <w:t>IMed</w:t>
      </w:r>
      <w:proofErr w:type="spellEnd"/>
      <w:r w:rsidRPr="00317DE2">
        <w:rPr>
          <w:rFonts w:cs="Arial"/>
          <w:sz w:val="22"/>
          <w:szCs w:val="22"/>
        </w:rPr>
        <w:t>) w przeliczeniu na 100 tys. mieszkańców dla całego kraju w 2023 r</w:t>
      </w:r>
      <w:r w:rsidR="008141C9">
        <w:rPr>
          <w:rFonts w:cs="Arial"/>
          <w:sz w:val="22"/>
          <w:szCs w:val="22"/>
        </w:rPr>
        <w:t>oku</w:t>
      </w:r>
      <w:r w:rsidRPr="00317DE2">
        <w:rPr>
          <w:rFonts w:cs="Arial"/>
          <w:sz w:val="22"/>
          <w:szCs w:val="22"/>
        </w:rPr>
        <w:t xml:space="preserve"> wyniósł 0,70. W siedmiu województwach wskaźnik ten był wyższy od parametru określonego dla całego kraju, dotyczy to województw: lubuskiego (3,68), małopolskiego (1,78), śląskiego (1,29), łódzkiego (1,18), kujawsko-pomorskiego (0,80), wielkopolskiego (0,77) i zachodniopomorskiego (0,73). W pozostałych dziewięciu województwach, wskaźniki </w:t>
      </w:r>
      <w:proofErr w:type="spellStart"/>
      <w:r w:rsidRPr="00317DE2">
        <w:rPr>
          <w:rFonts w:cs="Arial"/>
          <w:sz w:val="22"/>
          <w:szCs w:val="22"/>
        </w:rPr>
        <w:t>IMed</w:t>
      </w:r>
      <w:proofErr w:type="spellEnd"/>
      <w:r w:rsidRPr="00317DE2">
        <w:rPr>
          <w:rFonts w:cs="Arial"/>
          <w:sz w:val="22"/>
          <w:szCs w:val="22"/>
        </w:rPr>
        <w:t xml:space="preserve"> na 100 tys. mieszkańców były niższe od  średniego parametru określonego dla całego kraju. W przypadku województw: lubelskiego i  opolskiego wskaźnik ten wyniósł 0,00.</w:t>
      </w:r>
    </w:p>
    <w:p w14:paraId="08B441CC" w14:textId="76E073C8" w:rsidR="001676E4" w:rsidRPr="00317DE2" w:rsidRDefault="001676E4" w:rsidP="001676E4">
      <w:pPr>
        <w:spacing w:after="0" w:line="360" w:lineRule="auto"/>
        <w:ind w:firstLine="426"/>
        <w:jc w:val="both"/>
        <w:rPr>
          <w:rFonts w:cs="Arial"/>
          <w:sz w:val="22"/>
          <w:szCs w:val="22"/>
        </w:rPr>
      </w:pPr>
      <w:r w:rsidRPr="00317DE2">
        <w:rPr>
          <w:rFonts w:cs="Arial"/>
          <w:sz w:val="22"/>
          <w:szCs w:val="22"/>
        </w:rPr>
        <w:lastRenderedPageBreak/>
        <w:t xml:space="preserve">Z danych zebranych w Wojewódzkiej Stacji </w:t>
      </w:r>
      <w:proofErr w:type="spellStart"/>
      <w:r w:rsidRPr="00317DE2">
        <w:rPr>
          <w:rFonts w:cs="Arial"/>
          <w:sz w:val="22"/>
          <w:szCs w:val="22"/>
        </w:rPr>
        <w:t>Sanitarno</w:t>
      </w:r>
      <w:proofErr w:type="spellEnd"/>
      <w:r w:rsidRPr="00317DE2">
        <w:rPr>
          <w:rFonts w:cs="Arial"/>
          <w:sz w:val="22"/>
          <w:szCs w:val="22"/>
        </w:rPr>
        <w:t xml:space="preserve"> – Epidemiologicznej w Lublinie wynika, iż w 2023 r</w:t>
      </w:r>
      <w:r w:rsidR="008141C9">
        <w:rPr>
          <w:rFonts w:cs="Arial"/>
          <w:sz w:val="22"/>
          <w:szCs w:val="22"/>
        </w:rPr>
        <w:t>oku</w:t>
      </w:r>
      <w:r w:rsidRPr="00317DE2">
        <w:rPr>
          <w:rFonts w:cs="Arial"/>
          <w:sz w:val="22"/>
          <w:szCs w:val="22"/>
        </w:rPr>
        <w:t xml:space="preserve"> na terenie województwa lubelskiego, odnotowano 7 przypadków zatruć lub podejrzeń zatruć środkami zastępczymi i NSP. Odnotowano 6 przypadków u mężczyzn i</w:t>
      </w:r>
      <w:r>
        <w:rPr>
          <w:rFonts w:cs="Arial"/>
          <w:sz w:val="22"/>
          <w:szCs w:val="22"/>
        </w:rPr>
        <w:t> </w:t>
      </w:r>
      <w:r w:rsidRPr="00317DE2">
        <w:rPr>
          <w:rFonts w:cs="Arial"/>
          <w:sz w:val="22"/>
          <w:szCs w:val="22"/>
        </w:rPr>
        <w:t>1</w:t>
      </w:r>
      <w:r>
        <w:rPr>
          <w:rFonts w:cs="Arial"/>
          <w:sz w:val="22"/>
          <w:szCs w:val="22"/>
        </w:rPr>
        <w:t> </w:t>
      </w:r>
      <w:r w:rsidRPr="00317DE2">
        <w:rPr>
          <w:rFonts w:cs="Arial"/>
          <w:sz w:val="22"/>
          <w:szCs w:val="22"/>
        </w:rPr>
        <w:t xml:space="preserve"> przypadek u kobiety. Ponad połowa stwierdzonych przypadków to osoby poniżej 18 lat (4  przypadki, w tym 1 przypadek – 13 lat, 1 przypadek – 16 lat, 2 przypadki – 17 lat), pozostałe 3 przypadki, to osoby w wieku 28, 31, oraz 40 lat.</w:t>
      </w:r>
    </w:p>
    <w:p w14:paraId="064CD481" w14:textId="77777777" w:rsidR="001676E4" w:rsidRPr="00317DE2" w:rsidRDefault="001676E4" w:rsidP="001676E4">
      <w:pPr>
        <w:spacing w:after="0" w:line="360" w:lineRule="auto"/>
        <w:ind w:firstLine="426"/>
        <w:jc w:val="both"/>
        <w:rPr>
          <w:rFonts w:cs="Arial"/>
          <w:sz w:val="22"/>
          <w:szCs w:val="22"/>
        </w:rPr>
      </w:pPr>
      <w:r w:rsidRPr="00317DE2">
        <w:rPr>
          <w:rFonts w:cs="Arial"/>
          <w:sz w:val="22"/>
          <w:szCs w:val="22"/>
        </w:rPr>
        <w:t>W przypadku podziału na poszczególne powiaty najwięcej zatruć lub podejrzeń zatruć środkami zastępczymi i/lub nowymi substancjami psychoaktywnymi w 2023 roku odnotowano na terenie powiatu bialskiego i miasta Biała Podlaska – 5 przypadków. Stanowi to ponad połowę wszystkich zatruć na terenie województwa lubelskiego. W 2023 roku na terenie powiatu chełmskiego i miasta Chełm odnotowano 2 przypadki zatruć. Na terenie pozostałych powiatów w 2023 roku nie odnotowano żadnych przypadków zatruć środkami zastępczymi i/lub NSP.</w:t>
      </w:r>
    </w:p>
    <w:p w14:paraId="4C80FE7A" w14:textId="1D555D7F" w:rsidR="001676E4" w:rsidRPr="00317DE2" w:rsidRDefault="001676E4" w:rsidP="001676E4">
      <w:pPr>
        <w:pStyle w:val="Tekstpodstawowy"/>
        <w:spacing w:after="0" w:line="360" w:lineRule="auto"/>
        <w:ind w:firstLine="426"/>
        <w:jc w:val="both"/>
        <w:rPr>
          <w:rFonts w:ascii="Arial" w:hAnsi="Arial" w:cs="Arial"/>
          <w:sz w:val="22"/>
          <w:szCs w:val="22"/>
        </w:rPr>
      </w:pPr>
      <w:r w:rsidRPr="00317DE2">
        <w:rPr>
          <w:rFonts w:ascii="Arial" w:hAnsi="Arial" w:cs="Arial"/>
          <w:sz w:val="22"/>
          <w:szCs w:val="22"/>
        </w:rPr>
        <w:t xml:space="preserve">Poza zatruciami ważnym problemem są zgony z powodu przedawkowania. Dane na ten temat prezentujemy za </w:t>
      </w:r>
      <w:r w:rsidR="00805548">
        <w:rPr>
          <w:rFonts w:ascii="Arial" w:hAnsi="Arial" w:cs="Arial"/>
          <w:sz w:val="22"/>
          <w:szCs w:val="22"/>
        </w:rPr>
        <w:t>KCPU</w:t>
      </w:r>
      <w:r w:rsidRPr="00317DE2">
        <w:rPr>
          <w:rFonts w:ascii="Arial" w:hAnsi="Arial" w:cs="Arial"/>
          <w:sz w:val="22"/>
          <w:szCs w:val="22"/>
        </w:rPr>
        <w:t>, które opiera się na danych GUS za 2023 r</w:t>
      </w:r>
      <w:r w:rsidR="008141C9">
        <w:rPr>
          <w:rFonts w:ascii="Arial" w:hAnsi="Arial" w:cs="Arial"/>
          <w:sz w:val="22"/>
          <w:szCs w:val="22"/>
        </w:rPr>
        <w:t>ok</w:t>
      </w:r>
      <w:r w:rsidRPr="00317DE2">
        <w:rPr>
          <w:rFonts w:ascii="Arial" w:hAnsi="Arial" w:cs="Arial"/>
          <w:sz w:val="22"/>
          <w:szCs w:val="22"/>
        </w:rPr>
        <w:t>, zgodnie z krajową definicją systemu diagnozy nozologicznej: F11-12, F14-16, F19, X42, X62, X64, Y12, Y14. W</w:t>
      </w:r>
      <w:r>
        <w:rPr>
          <w:rFonts w:ascii="Arial" w:hAnsi="Arial" w:cs="Arial"/>
          <w:sz w:val="22"/>
          <w:szCs w:val="22"/>
        </w:rPr>
        <w:t> </w:t>
      </w:r>
      <w:r w:rsidRPr="00317DE2">
        <w:rPr>
          <w:rFonts w:ascii="Arial" w:hAnsi="Arial" w:cs="Arial"/>
          <w:sz w:val="22"/>
          <w:szCs w:val="22"/>
        </w:rPr>
        <w:t xml:space="preserve">roku 2023 w kraju odnotowano 28 zgonów z powodu przedawkowania narkotyków, </w:t>
      </w:r>
      <w:r w:rsidRPr="00317DE2">
        <w:rPr>
          <w:rFonts w:ascii="Arial" w:hAnsi="Arial" w:cs="Arial"/>
          <w:sz w:val="22"/>
          <w:szCs w:val="22"/>
        </w:rPr>
        <w:br/>
        <w:t>z czego żaden nie dotyczył województwa lubelskiego. W ubiegłych latach było to odpowiednio:</w:t>
      </w:r>
      <w:r w:rsidRPr="00317DE2">
        <w:rPr>
          <w:rFonts w:ascii="Arial" w:hAnsi="Arial" w:cs="Arial"/>
          <w:sz w:val="22"/>
          <w:szCs w:val="22"/>
        </w:rPr>
        <w:br/>
        <w:t>w 2022 r</w:t>
      </w:r>
      <w:r w:rsidR="008141C9">
        <w:rPr>
          <w:rFonts w:ascii="Arial" w:hAnsi="Arial" w:cs="Arial"/>
          <w:sz w:val="22"/>
          <w:szCs w:val="22"/>
        </w:rPr>
        <w:t>oku</w:t>
      </w:r>
      <w:r w:rsidRPr="00317DE2">
        <w:rPr>
          <w:rFonts w:ascii="Arial" w:hAnsi="Arial" w:cs="Arial"/>
          <w:sz w:val="22"/>
          <w:szCs w:val="22"/>
        </w:rPr>
        <w:t xml:space="preserve"> – 15/0, </w:t>
      </w:r>
      <w:r w:rsidR="008141C9">
        <w:rPr>
          <w:rFonts w:ascii="Arial" w:hAnsi="Arial" w:cs="Arial"/>
          <w:sz w:val="22"/>
          <w:szCs w:val="22"/>
        </w:rPr>
        <w:t xml:space="preserve">w </w:t>
      </w:r>
      <w:r w:rsidRPr="00317DE2">
        <w:rPr>
          <w:rFonts w:ascii="Arial" w:hAnsi="Arial" w:cs="Arial"/>
          <w:sz w:val="22"/>
          <w:szCs w:val="22"/>
        </w:rPr>
        <w:t>2021 r</w:t>
      </w:r>
      <w:r w:rsidR="008141C9">
        <w:rPr>
          <w:rFonts w:ascii="Arial" w:hAnsi="Arial" w:cs="Arial"/>
          <w:sz w:val="22"/>
          <w:szCs w:val="22"/>
        </w:rPr>
        <w:t>oku</w:t>
      </w:r>
      <w:r w:rsidRPr="00317DE2">
        <w:rPr>
          <w:rFonts w:ascii="Arial" w:hAnsi="Arial" w:cs="Arial"/>
          <w:sz w:val="22"/>
          <w:szCs w:val="22"/>
        </w:rPr>
        <w:t xml:space="preserve"> - 289/1. Sytuacja poprawia się na przestrzeni ostatnich kilku lat.</w:t>
      </w:r>
    </w:p>
    <w:p w14:paraId="0BAF6F35" w14:textId="77777777" w:rsidR="001676E4" w:rsidRPr="00317DE2" w:rsidRDefault="001676E4" w:rsidP="001676E4">
      <w:pPr>
        <w:spacing w:after="0" w:line="360" w:lineRule="auto"/>
        <w:ind w:firstLine="426"/>
        <w:jc w:val="both"/>
        <w:rPr>
          <w:rFonts w:cs="Arial"/>
          <w:sz w:val="22"/>
          <w:szCs w:val="22"/>
        </w:rPr>
      </w:pPr>
      <w:r w:rsidRPr="00317DE2">
        <w:rPr>
          <w:rFonts w:cs="Arial"/>
          <w:sz w:val="22"/>
          <w:szCs w:val="22"/>
        </w:rPr>
        <w:t xml:space="preserve">Kolejnym problemem jest praca po użyciu substancji psychoaktywnych. Mieszkańcy województwa lubelskiego odpowiadali na pytanie, czy zdarzyło im się lub osobie z najbliższej rodziny być w pracy pod wpływem substancji psychoaktywnej. 92,6% osób udzieliła negatywnej odpowiedzi na to pytanie. Oznacza to, że nie zdarzała im się lub komuś z ich otoczenia taka sytuacja. W przypadku substancji psychoaktywnych co trzeciemu ankietowanemu zdarzyło się to 1 raz lub 2-5 razy. Co trzeci ankietowany zaznaczył, iż osoby z jego rodziny nie przebywały w pracy pod wpływem substancji psychoaktywnych. Potwierdza to również badanie wśród osób uzależnionych, gdzie żadna z osób nigdy nie była w pracy pod wpływem substancji psychoaktywnych innych niż alkohol. </w:t>
      </w:r>
    </w:p>
    <w:p w14:paraId="7303D9E0" w14:textId="77777777" w:rsidR="00955250" w:rsidRPr="00317DE2" w:rsidRDefault="00955250" w:rsidP="00B11CBB">
      <w:pPr>
        <w:pStyle w:val="Nagwek2"/>
      </w:pPr>
      <w:bookmarkStart w:id="87" w:name="_Toc214277564"/>
      <w:r w:rsidRPr="00317DE2">
        <w:t>Realizacja gminnych programów w obszarze przeciwdziałania narkomanii</w:t>
      </w:r>
      <w:bookmarkEnd w:id="87"/>
    </w:p>
    <w:p w14:paraId="54EEC601" w14:textId="6C3508AA" w:rsidR="00955250" w:rsidRPr="00D503F3" w:rsidRDefault="00955250" w:rsidP="00955250">
      <w:pPr>
        <w:spacing w:after="0" w:line="360" w:lineRule="auto"/>
        <w:ind w:firstLine="426"/>
        <w:jc w:val="both"/>
        <w:rPr>
          <w:rFonts w:cs="Arial"/>
          <w:sz w:val="22"/>
          <w:szCs w:val="22"/>
        </w:rPr>
      </w:pPr>
      <w:r>
        <w:rPr>
          <w:rFonts w:cs="Arial"/>
          <w:sz w:val="22"/>
          <w:szCs w:val="22"/>
        </w:rPr>
        <w:t>A</w:t>
      </w:r>
      <w:r w:rsidRPr="00317DE2">
        <w:rPr>
          <w:rFonts w:cs="Arial"/>
          <w:sz w:val="22"/>
          <w:szCs w:val="22"/>
        </w:rPr>
        <w:t xml:space="preserve">rt. 10. </w:t>
      </w:r>
      <w:r w:rsidR="008141C9">
        <w:rPr>
          <w:rFonts w:cs="Arial"/>
          <w:sz w:val="22"/>
          <w:szCs w:val="22"/>
        </w:rPr>
        <w:t>u</w:t>
      </w:r>
      <w:r w:rsidRPr="00317DE2">
        <w:rPr>
          <w:rFonts w:cs="Arial"/>
          <w:sz w:val="22"/>
          <w:szCs w:val="22"/>
        </w:rPr>
        <w:t xml:space="preserve">stawy o przeciwdziałaniu narkomanii </w:t>
      </w:r>
      <w:r>
        <w:rPr>
          <w:rFonts w:cs="Arial"/>
          <w:sz w:val="22"/>
          <w:szCs w:val="22"/>
        </w:rPr>
        <w:t xml:space="preserve">opisuje </w:t>
      </w:r>
      <w:r w:rsidRPr="00317DE2">
        <w:rPr>
          <w:rFonts w:cs="Arial"/>
          <w:sz w:val="22"/>
          <w:szCs w:val="22"/>
        </w:rPr>
        <w:t xml:space="preserve">zadania własne gminy w tym zakresie </w:t>
      </w:r>
      <w:r>
        <w:rPr>
          <w:rFonts w:cs="Arial"/>
          <w:sz w:val="22"/>
          <w:szCs w:val="22"/>
        </w:rPr>
        <w:t xml:space="preserve">i są </w:t>
      </w:r>
      <w:r w:rsidRPr="00317DE2">
        <w:rPr>
          <w:rFonts w:cs="Arial"/>
          <w:sz w:val="22"/>
          <w:szCs w:val="22"/>
        </w:rPr>
        <w:t>realizowane w ramach opracowywanego przez gminę programu profilaktyki i rozwiązywania problemów alkoholowych oraz przeciwdziałania narkomanii. Zgodnie z ustawą program zawiera również kierunki działań wynikające z NPZ,</w:t>
      </w:r>
      <w:r>
        <w:rPr>
          <w:rFonts w:cs="Arial"/>
          <w:sz w:val="22"/>
          <w:szCs w:val="22"/>
        </w:rPr>
        <w:t xml:space="preserve"> </w:t>
      </w:r>
      <w:r w:rsidRPr="00D503F3">
        <w:rPr>
          <w:rFonts w:cs="Arial"/>
          <w:sz w:val="22"/>
          <w:szCs w:val="22"/>
        </w:rPr>
        <w:t>a jednocześnie stanowi część gminnej strategii rozwiązywania problemów społecznych.</w:t>
      </w:r>
    </w:p>
    <w:p w14:paraId="672EF698" w14:textId="17040AB2" w:rsidR="00955250" w:rsidRPr="00D503F3" w:rsidRDefault="00955250" w:rsidP="00955250">
      <w:pPr>
        <w:spacing w:after="0" w:line="360" w:lineRule="auto"/>
        <w:ind w:firstLine="426"/>
        <w:jc w:val="both"/>
        <w:rPr>
          <w:rFonts w:cs="Arial"/>
          <w:sz w:val="22"/>
          <w:szCs w:val="22"/>
        </w:rPr>
      </w:pPr>
      <w:r w:rsidRPr="00D503F3">
        <w:rPr>
          <w:rFonts w:cs="Arial"/>
          <w:sz w:val="22"/>
          <w:szCs w:val="22"/>
        </w:rPr>
        <w:lastRenderedPageBreak/>
        <w:t>W 202</w:t>
      </w:r>
      <w:r w:rsidR="00D85D06">
        <w:rPr>
          <w:rFonts w:cs="Arial"/>
          <w:sz w:val="22"/>
          <w:szCs w:val="22"/>
        </w:rPr>
        <w:t>3</w:t>
      </w:r>
      <w:r w:rsidRPr="00D503F3">
        <w:rPr>
          <w:rFonts w:cs="Arial"/>
          <w:sz w:val="22"/>
          <w:szCs w:val="22"/>
        </w:rPr>
        <w:t xml:space="preserve"> roku 1 522 gminy</w:t>
      </w:r>
      <w:r w:rsidRPr="00D503F3">
        <w:rPr>
          <w:rStyle w:val="Odwoanieprzypisudolnego"/>
          <w:rFonts w:cs="Arial"/>
          <w:sz w:val="22"/>
          <w:szCs w:val="22"/>
        </w:rPr>
        <w:footnoteReference w:id="41"/>
      </w:r>
      <w:r w:rsidRPr="00D503F3">
        <w:rPr>
          <w:rFonts w:cs="Arial"/>
          <w:sz w:val="22"/>
          <w:szCs w:val="22"/>
        </w:rPr>
        <w:t xml:space="preserve"> wspierały programy profilaktyki uniwersalnej kierowane do dzieci i młodzieży w wieku szkolnym (70% spośród tych, które nadesłały sprawozdanie</w:t>
      </w:r>
      <w:r w:rsidRPr="00D503F3">
        <w:rPr>
          <w:rFonts w:cs="Arial"/>
          <w:sz w:val="22"/>
          <w:szCs w:val="22"/>
        </w:rPr>
        <w:br/>
        <w:t>w 2023 roku). W większym stopniu finansowane były działania edukacyjne adresowane do dzieci i młodzieży na temat zagrożeń wynikających z używania narkotyków i NSP. Tego typu działania prowadziło 1</w:t>
      </w:r>
      <w:r w:rsidR="008141C9">
        <w:rPr>
          <w:rFonts w:cs="Arial"/>
          <w:sz w:val="22"/>
          <w:szCs w:val="22"/>
        </w:rPr>
        <w:t xml:space="preserve"> </w:t>
      </w:r>
      <w:r w:rsidRPr="00D503F3">
        <w:rPr>
          <w:rFonts w:cs="Arial"/>
          <w:sz w:val="22"/>
          <w:szCs w:val="22"/>
        </w:rPr>
        <w:t xml:space="preserve">677 gmin (77%). </w:t>
      </w:r>
    </w:p>
    <w:p w14:paraId="0FB70415" w14:textId="7F54B0DC" w:rsidR="00955250" w:rsidRPr="00D503F3" w:rsidRDefault="00955250" w:rsidP="00955250">
      <w:pPr>
        <w:spacing w:after="0" w:line="360" w:lineRule="auto"/>
        <w:ind w:firstLine="426"/>
        <w:jc w:val="both"/>
        <w:rPr>
          <w:rFonts w:cs="Arial"/>
          <w:sz w:val="22"/>
          <w:szCs w:val="22"/>
        </w:rPr>
      </w:pPr>
      <w:r w:rsidRPr="00D503F3">
        <w:rPr>
          <w:rFonts w:cs="Arial"/>
          <w:sz w:val="22"/>
          <w:szCs w:val="22"/>
        </w:rPr>
        <w:t>W 2023 roku 213 gmin wspierało programy wczesnej interwencji i programy profilaktyki selektywnej, adresowane do środowisk zagrożonych, a 101 gmin programy profilaktyki wskazującej. W efekcie prowadzonych działań profilaktyką wskazującą</w:t>
      </w:r>
      <w:r>
        <w:rPr>
          <w:rFonts w:cs="Arial"/>
          <w:sz w:val="22"/>
          <w:szCs w:val="22"/>
        </w:rPr>
        <w:t xml:space="preserve"> </w:t>
      </w:r>
      <w:r w:rsidRPr="00D503F3">
        <w:rPr>
          <w:rFonts w:cs="Arial"/>
          <w:sz w:val="22"/>
          <w:szCs w:val="22"/>
        </w:rPr>
        <w:t>i selektywną objęto 48</w:t>
      </w:r>
      <w:r w:rsidR="008141C9">
        <w:rPr>
          <w:rFonts w:cs="Arial"/>
          <w:sz w:val="22"/>
          <w:szCs w:val="22"/>
        </w:rPr>
        <w:t> </w:t>
      </w:r>
      <w:r w:rsidRPr="00D503F3">
        <w:rPr>
          <w:rFonts w:cs="Arial"/>
          <w:sz w:val="22"/>
          <w:szCs w:val="22"/>
        </w:rPr>
        <w:t>237 osób.</w:t>
      </w:r>
    </w:p>
    <w:p w14:paraId="3A6F9954" w14:textId="1D9E74C5" w:rsidR="00955250" w:rsidRPr="00317DE2" w:rsidRDefault="00955250" w:rsidP="00955250">
      <w:pPr>
        <w:spacing w:after="0" w:line="360" w:lineRule="auto"/>
        <w:ind w:firstLine="426"/>
        <w:jc w:val="both"/>
        <w:rPr>
          <w:rFonts w:cs="Arial"/>
          <w:sz w:val="22"/>
          <w:szCs w:val="22"/>
        </w:rPr>
      </w:pPr>
      <w:r w:rsidRPr="00317DE2">
        <w:rPr>
          <w:rFonts w:cs="Arial"/>
          <w:sz w:val="22"/>
          <w:szCs w:val="22"/>
        </w:rPr>
        <w:t xml:space="preserve">Spośród programów profilaktyki, które </w:t>
      </w:r>
      <w:r>
        <w:rPr>
          <w:rFonts w:cs="Arial"/>
          <w:sz w:val="22"/>
          <w:szCs w:val="22"/>
        </w:rPr>
        <w:t>znalazły się w systemie rekomendacji</w:t>
      </w:r>
      <w:r w:rsidRPr="00317DE2">
        <w:rPr>
          <w:rFonts w:cs="Arial"/>
          <w:sz w:val="22"/>
          <w:szCs w:val="22"/>
        </w:rPr>
        <w:t>, samorządy gmin najczęściej finansowały realizację programu Program Profilaktyczny „Debata” (257 gmin) oraz „Spójrz Inaczej” dla klas 4-6 (209 gmin)</w:t>
      </w:r>
      <w:r w:rsidRPr="00317DE2">
        <w:rPr>
          <w:rStyle w:val="Odwoanieprzypisudolnego"/>
          <w:rFonts w:cs="Arial"/>
          <w:sz w:val="22"/>
          <w:szCs w:val="22"/>
        </w:rPr>
        <w:footnoteReference w:id="42"/>
      </w:r>
      <w:r w:rsidRPr="00317DE2">
        <w:rPr>
          <w:rFonts w:cs="Arial"/>
          <w:sz w:val="22"/>
          <w:szCs w:val="22"/>
        </w:rPr>
        <w:t>.</w:t>
      </w:r>
    </w:p>
    <w:p w14:paraId="6659EC7A"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Według informacji wynikających</w:t>
      </w:r>
      <w:r>
        <w:rPr>
          <w:rFonts w:cs="Arial"/>
          <w:sz w:val="22"/>
          <w:szCs w:val="22"/>
        </w:rPr>
        <w:t xml:space="preserve"> </w:t>
      </w:r>
      <w:r w:rsidRPr="00317DE2">
        <w:rPr>
          <w:rFonts w:cs="Arial"/>
          <w:sz w:val="22"/>
          <w:szCs w:val="22"/>
        </w:rPr>
        <w:t>z</w:t>
      </w:r>
      <w:r>
        <w:rPr>
          <w:rFonts w:cs="Arial"/>
          <w:sz w:val="22"/>
          <w:szCs w:val="22"/>
        </w:rPr>
        <w:t>e</w:t>
      </w:r>
      <w:r w:rsidRPr="00317DE2">
        <w:rPr>
          <w:rFonts w:cs="Arial"/>
          <w:sz w:val="22"/>
          <w:szCs w:val="22"/>
        </w:rPr>
        <w:t xml:space="preserve"> </w:t>
      </w:r>
      <w:r>
        <w:rPr>
          <w:rFonts w:cs="Arial"/>
          <w:sz w:val="22"/>
          <w:szCs w:val="22"/>
        </w:rPr>
        <w:t xml:space="preserve">sprawozdawczości </w:t>
      </w:r>
      <w:r w:rsidRPr="00317DE2">
        <w:rPr>
          <w:rFonts w:cs="Arial"/>
          <w:sz w:val="22"/>
          <w:szCs w:val="22"/>
        </w:rPr>
        <w:t>w 56% gmin (2 093) w Polsce pracują osoby, które znają system rekomendacji. Wyniki pokazały, że według 41% JST system rekomendacji przyczynia się do podniesienia jakości działań profilaktycznych. Badane osoby, będące przedstawicielami JST, czerpią wiedzę przede wszystkim ze strony internetowej programów rekomendowanych (59%), natomiast co trzecia JST z dokumentów prawnych (32%) lub z publikacji (31%). Do głównych barier utrudniających wdrażanie programów rekomendowanych należą przede wszystkim zbyt wysokie koszty tych programów (42%), a na drugim miejscu wskazano niewystarczające środki finansowe gmin (30%).</w:t>
      </w:r>
    </w:p>
    <w:p w14:paraId="22D1F0AB" w14:textId="62F2686F" w:rsidR="00955250" w:rsidRDefault="00955250" w:rsidP="00955250">
      <w:pPr>
        <w:spacing w:after="0" w:line="360" w:lineRule="auto"/>
        <w:ind w:firstLine="426"/>
        <w:jc w:val="both"/>
        <w:rPr>
          <w:rFonts w:cs="Arial"/>
          <w:sz w:val="22"/>
          <w:szCs w:val="22"/>
        </w:rPr>
      </w:pPr>
      <w:r w:rsidRPr="00317DE2">
        <w:rPr>
          <w:rFonts w:cs="Arial"/>
          <w:sz w:val="22"/>
          <w:szCs w:val="22"/>
        </w:rPr>
        <w:t>Podsumowują</w:t>
      </w:r>
      <w:r>
        <w:rPr>
          <w:rFonts w:cs="Arial"/>
          <w:sz w:val="22"/>
          <w:szCs w:val="22"/>
        </w:rPr>
        <w:t>c</w:t>
      </w:r>
      <w:r w:rsidR="00FF20B4">
        <w:rPr>
          <w:rFonts w:cs="Arial"/>
          <w:sz w:val="22"/>
          <w:szCs w:val="22"/>
        </w:rPr>
        <w:t>,</w:t>
      </w:r>
      <w:r w:rsidRPr="00317DE2">
        <w:rPr>
          <w:rFonts w:cs="Arial"/>
          <w:sz w:val="22"/>
          <w:szCs w:val="22"/>
        </w:rPr>
        <w:t xml:space="preserve"> tendencje w województwie lubelskim są podobne jak w kraju. Gminy najczęściej realizują programy profilaktyki uniwersalnej, natomiast programy profilaktyki selektywnej i wskazującej są realizowane marginalnie. Większość gmin finansuje działania edukacyjne skierowane na rozwijanie kompetencji rodzicielskich lub dedykowane osobom pracującym z dziećmi</w:t>
      </w:r>
      <w:r>
        <w:rPr>
          <w:rFonts w:cs="Arial"/>
          <w:sz w:val="22"/>
          <w:szCs w:val="22"/>
        </w:rPr>
        <w:t xml:space="preserve"> </w:t>
      </w:r>
      <w:r w:rsidRPr="00317DE2">
        <w:rPr>
          <w:rFonts w:cs="Arial"/>
          <w:sz w:val="22"/>
          <w:szCs w:val="22"/>
        </w:rPr>
        <w:t xml:space="preserve">i młodzieżą, natomiast niewiele jest działań z zakresu redukcji szkód, badań oraz monitoringu. </w:t>
      </w:r>
    </w:p>
    <w:p w14:paraId="1C181EB3" w14:textId="77777777" w:rsidR="00C22FC0" w:rsidRPr="00317DE2" w:rsidRDefault="00C22FC0" w:rsidP="00C22FC0">
      <w:pPr>
        <w:pStyle w:val="Nagwek3"/>
      </w:pPr>
      <w:r w:rsidRPr="00317DE2">
        <w:t>Świadczenia pomocy społecznej</w:t>
      </w:r>
    </w:p>
    <w:p w14:paraId="645E8B5F" w14:textId="2E6DE3CC" w:rsidR="00C22FC0" w:rsidRPr="00317DE2" w:rsidRDefault="00C22FC0" w:rsidP="00C22FC0">
      <w:pPr>
        <w:tabs>
          <w:tab w:val="left" w:pos="426"/>
        </w:tabs>
        <w:spacing w:after="0" w:line="360" w:lineRule="auto"/>
        <w:ind w:firstLine="425"/>
        <w:jc w:val="both"/>
        <w:rPr>
          <w:rFonts w:cs="Arial"/>
          <w:sz w:val="22"/>
          <w:szCs w:val="22"/>
        </w:rPr>
      </w:pPr>
      <w:r w:rsidRPr="00317DE2">
        <w:rPr>
          <w:rFonts w:cs="Arial"/>
          <w:sz w:val="22"/>
          <w:szCs w:val="22"/>
        </w:rPr>
        <w:t xml:space="preserve">Dokonując analizy danych w zakresie liczby rodzin, w </w:t>
      </w:r>
      <w:r w:rsidRPr="00317DE2">
        <w:rPr>
          <w:rFonts w:cs="Arial"/>
          <w:color w:val="000000"/>
          <w:sz w:val="22"/>
          <w:szCs w:val="22"/>
        </w:rPr>
        <w:t xml:space="preserve">których </w:t>
      </w:r>
      <w:r w:rsidRPr="00317DE2">
        <w:rPr>
          <w:rFonts w:cs="Arial"/>
          <w:sz w:val="22"/>
          <w:szCs w:val="22"/>
        </w:rPr>
        <w:t xml:space="preserve">występuje problem </w:t>
      </w:r>
      <w:r>
        <w:rPr>
          <w:rFonts w:cs="Arial"/>
          <w:sz w:val="22"/>
          <w:szCs w:val="22"/>
        </w:rPr>
        <w:t>narkomanii</w:t>
      </w:r>
      <w:r w:rsidRPr="00317DE2">
        <w:rPr>
          <w:rFonts w:cs="Arial"/>
          <w:sz w:val="22"/>
          <w:szCs w:val="22"/>
        </w:rPr>
        <w:t>, korzystających z pomocy społecznej, zawartych w Ocenie Zasobów Pomocy Społecznej, można zauważyć, że od 20</w:t>
      </w:r>
      <w:r>
        <w:rPr>
          <w:rFonts w:cs="Arial"/>
          <w:sz w:val="22"/>
          <w:szCs w:val="22"/>
        </w:rPr>
        <w:t>20</w:t>
      </w:r>
      <w:r w:rsidRPr="00317DE2">
        <w:rPr>
          <w:rFonts w:cs="Arial"/>
          <w:sz w:val="22"/>
          <w:szCs w:val="22"/>
        </w:rPr>
        <w:t xml:space="preserve"> do 2024 roku utrzymywała się tendencja </w:t>
      </w:r>
      <w:r w:rsidR="00FF20B4">
        <w:rPr>
          <w:rFonts w:cs="Arial"/>
          <w:sz w:val="22"/>
          <w:szCs w:val="22"/>
        </w:rPr>
        <w:t>wzrostowa</w:t>
      </w:r>
      <w:r w:rsidRPr="00317DE2">
        <w:rPr>
          <w:rFonts w:cs="Arial"/>
          <w:sz w:val="22"/>
          <w:szCs w:val="22"/>
        </w:rPr>
        <w:t>. Poniżej zaprezentowano szczegółowe dane:</w:t>
      </w:r>
    </w:p>
    <w:p w14:paraId="1A15AD41" w14:textId="77777777" w:rsidR="00C22FC0" w:rsidRPr="00317DE2" w:rsidRDefault="00C22FC0" w:rsidP="00C22FC0">
      <w:pPr>
        <w:numPr>
          <w:ilvl w:val="0"/>
          <w:numId w:val="1"/>
        </w:numPr>
        <w:spacing w:after="0" w:line="360" w:lineRule="auto"/>
        <w:jc w:val="both"/>
        <w:rPr>
          <w:rFonts w:cs="Arial"/>
          <w:color w:val="000000"/>
          <w:sz w:val="22"/>
          <w:szCs w:val="22"/>
        </w:rPr>
      </w:pPr>
      <w:r w:rsidRPr="00317DE2">
        <w:rPr>
          <w:rFonts w:cs="Arial"/>
          <w:color w:val="000000"/>
          <w:sz w:val="22"/>
          <w:szCs w:val="22"/>
        </w:rPr>
        <w:t xml:space="preserve">2020 r. – </w:t>
      </w:r>
      <w:r>
        <w:rPr>
          <w:rFonts w:cs="Arial"/>
          <w:color w:val="000000"/>
          <w:sz w:val="22"/>
          <w:szCs w:val="22"/>
        </w:rPr>
        <w:t>123</w:t>
      </w:r>
      <w:r w:rsidRPr="00317DE2">
        <w:rPr>
          <w:rFonts w:cs="Arial"/>
          <w:color w:val="000000"/>
          <w:sz w:val="22"/>
          <w:szCs w:val="22"/>
        </w:rPr>
        <w:t xml:space="preserve"> rodzin</w:t>
      </w:r>
      <w:r>
        <w:rPr>
          <w:rFonts w:cs="Arial"/>
          <w:color w:val="000000"/>
          <w:sz w:val="22"/>
          <w:szCs w:val="22"/>
        </w:rPr>
        <w:t>y</w:t>
      </w:r>
    </w:p>
    <w:p w14:paraId="4CA4661D" w14:textId="77777777" w:rsidR="00C22FC0" w:rsidRPr="00317DE2" w:rsidRDefault="00C22FC0" w:rsidP="00C22FC0">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lastRenderedPageBreak/>
        <w:t xml:space="preserve">2021 r. – </w:t>
      </w:r>
      <w:r>
        <w:rPr>
          <w:rFonts w:cs="Arial"/>
          <w:color w:val="000000"/>
          <w:sz w:val="22"/>
          <w:szCs w:val="22"/>
        </w:rPr>
        <w:t>134</w:t>
      </w:r>
      <w:r w:rsidRPr="00317DE2">
        <w:rPr>
          <w:rFonts w:cs="Arial"/>
          <w:color w:val="000000"/>
          <w:sz w:val="22"/>
          <w:szCs w:val="22"/>
        </w:rPr>
        <w:t xml:space="preserve"> rodzin</w:t>
      </w:r>
      <w:r>
        <w:rPr>
          <w:rFonts w:cs="Arial"/>
          <w:color w:val="000000"/>
          <w:sz w:val="22"/>
          <w:szCs w:val="22"/>
        </w:rPr>
        <w:t>y</w:t>
      </w:r>
    </w:p>
    <w:p w14:paraId="59EE35A8" w14:textId="77777777" w:rsidR="00C22FC0" w:rsidRPr="00317DE2" w:rsidRDefault="00C22FC0" w:rsidP="00C22FC0">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2022 r. – 1</w:t>
      </w:r>
      <w:r>
        <w:rPr>
          <w:rFonts w:cs="Arial"/>
          <w:color w:val="000000"/>
          <w:sz w:val="22"/>
          <w:szCs w:val="22"/>
        </w:rPr>
        <w:t>3</w:t>
      </w:r>
      <w:r w:rsidRPr="00317DE2">
        <w:rPr>
          <w:rFonts w:cs="Arial"/>
          <w:color w:val="000000"/>
          <w:sz w:val="22"/>
          <w:szCs w:val="22"/>
        </w:rPr>
        <w:t>4 rodziny</w:t>
      </w:r>
    </w:p>
    <w:p w14:paraId="228D670B" w14:textId="77777777" w:rsidR="00C22FC0" w:rsidRPr="00317DE2" w:rsidRDefault="00C22FC0" w:rsidP="00C22FC0">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 xml:space="preserve">2023 r. – </w:t>
      </w:r>
      <w:r>
        <w:rPr>
          <w:rFonts w:cs="Arial"/>
          <w:color w:val="000000"/>
          <w:sz w:val="22"/>
          <w:szCs w:val="22"/>
        </w:rPr>
        <w:t xml:space="preserve">155 </w:t>
      </w:r>
      <w:r w:rsidRPr="00317DE2">
        <w:rPr>
          <w:rFonts w:cs="Arial"/>
          <w:color w:val="000000"/>
          <w:sz w:val="22"/>
          <w:szCs w:val="22"/>
        </w:rPr>
        <w:t>rodzin</w:t>
      </w:r>
    </w:p>
    <w:p w14:paraId="25B6D1E3" w14:textId="77777777" w:rsidR="00C22FC0" w:rsidRPr="00317DE2" w:rsidRDefault="00C22FC0" w:rsidP="00C22FC0">
      <w:pPr>
        <w:numPr>
          <w:ilvl w:val="0"/>
          <w:numId w:val="1"/>
        </w:numPr>
        <w:spacing w:after="0" w:line="360" w:lineRule="auto"/>
        <w:ind w:left="1077" w:hanging="357"/>
        <w:jc w:val="both"/>
        <w:rPr>
          <w:rFonts w:cs="Arial"/>
          <w:color w:val="000000"/>
          <w:sz w:val="22"/>
          <w:szCs w:val="22"/>
        </w:rPr>
      </w:pPr>
      <w:r w:rsidRPr="00317DE2">
        <w:rPr>
          <w:rFonts w:cs="Arial"/>
          <w:color w:val="000000"/>
          <w:sz w:val="22"/>
          <w:szCs w:val="22"/>
        </w:rPr>
        <w:t xml:space="preserve">2024 r. – </w:t>
      </w:r>
      <w:r>
        <w:rPr>
          <w:rFonts w:cs="Arial"/>
          <w:color w:val="000000"/>
          <w:sz w:val="22"/>
          <w:szCs w:val="22"/>
        </w:rPr>
        <w:t>175</w:t>
      </w:r>
      <w:r w:rsidRPr="00317DE2">
        <w:rPr>
          <w:rFonts w:cs="Arial"/>
          <w:color w:val="000000"/>
          <w:sz w:val="22"/>
          <w:szCs w:val="22"/>
        </w:rPr>
        <w:t xml:space="preserve"> rodzin</w:t>
      </w:r>
      <w:r w:rsidRPr="00317DE2">
        <w:rPr>
          <w:rFonts w:cs="Arial"/>
          <w:color w:val="000000"/>
          <w:sz w:val="22"/>
          <w:szCs w:val="22"/>
          <w:vertAlign w:val="superscript"/>
        </w:rPr>
        <w:footnoteReference w:id="43"/>
      </w:r>
      <w:r w:rsidRPr="00317DE2">
        <w:rPr>
          <w:rFonts w:cs="Arial"/>
          <w:color w:val="000000"/>
          <w:sz w:val="22"/>
          <w:szCs w:val="22"/>
        </w:rPr>
        <w:t>.</w:t>
      </w:r>
    </w:p>
    <w:p w14:paraId="11276B10" w14:textId="77777777" w:rsidR="00955250" w:rsidRPr="00317DE2" w:rsidRDefault="00955250" w:rsidP="00B11CBB">
      <w:pPr>
        <w:pStyle w:val="Nagwek2"/>
      </w:pPr>
      <w:bookmarkStart w:id="88" w:name="_Toc214277565"/>
      <w:r w:rsidRPr="00317DE2">
        <w:t>Zasoby lecznictwa i działania interwencyjne w zakresie przeciwdziałania narkomanii</w:t>
      </w:r>
      <w:bookmarkEnd w:id="88"/>
    </w:p>
    <w:p w14:paraId="3042FC7C"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 xml:space="preserve">Informacja nt. zabezpieczenia świadczeń zdrowotnych dla osób uzależnionych, dotkniętych problemem narkomanii realizowanych przez Lubelski Oddział Wojewódzki Narodowego Funduszu Zdrowia (LOW NFZ) dotyczy leczenia uzależnień od środków psychoaktywnych. </w:t>
      </w:r>
    </w:p>
    <w:p w14:paraId="14DCF951" w14:textId="420E82C0" w:rsidR="00955250" w:rsidRPr="00317DE2" w:rsidRDefault="00955250" w:rsidP="00955250">
      <w:pPr>
        <w:spacing w:after="0" w:line="360" w:lineRule="auto"/>
        <w:ind w:firstLine="426"/>
        <w:jc w:val="both"/>
        <w:rPr>
          <w:rFonts w:cs="Arial"/>
          <w:sz w:val="22"/>
          <w:szCs w:val="22"/>
        </w:rPr>
      </w:pPr>
      <w:r w:rsidRPr="00317DE2">
        <w:rPr>
          <w:rFonts w:cs="Arial"/>
          <w:sz w:val="22"/>
          <w:szCs w:val="22"/>
        </w:rPr>
        <w:t>W 2023 r</w:t>
      </w:r>
      <w:r w:rsidR="00FF20B4">
        <w:rPr>
          <w:rFonts w:cs="Arial"/>
          <w:sz w:val="22"/>
          <w:szCs w:val="22"/>
        </w:rPr>
        <w:t>oku</w:t>
      </w:r>
      <w:r w:rsidRPr="00317DE2">
        <w:rPr>
          <w:rFonts w:cs="Arial"/>
          <w:sz w:val="22"/>
          <w:szCs w:val="22"/>
        </w:rPr>
        <w:t xml:space="preserve"> leczeniem objęto łącznie 19 113 osób, (w ubiegłym roku było to 25 084 osoby), w tym: według następujących </w:t>
      </w:r>
      <w:proofErr w:type="spellStart"/>
      <w:r w:rsidRPr="00317DE2">
        <w:rPr>
          <w:rFonts w:cs="Arial"/>
          <w:sz w:val="22"/>
          <w:szCs w:val="22"/>
        </w:rPr>
        <w:t>rozpoznań</w:t>
      </w:r>
      <w:proofErr w:type="spellEnd"/>
      <w:r w:rsidRPr="00317DE2">
        <w:rPr>
          <w:rFonts w:cs="Arial"/>
          <w:sz w:val="22"/>
          <w:szCs w:val="22"/>
        </w:rPr>
        <w:t>, było to odpowiednio: B20-B24 – 137 osób (</w:t>
      </w:r>
      <w:r w:rsidR="00FF20B4">
        <w:rPr>
          <w:rFonts w:cs="Arial"/>
          <w:sz w:val="22"/>
          <w:szCs w:val="22"/>
        </w:rPr>
        <w:t xml:space="preserve">w </w:t>
      </w:r>
      <w:r w:rsidRPr="00317DE2">
        <w:rPr>
          <w:rFonts w:cs="Arial"/>
          <w:sz w:val="22"/>
          <w:szCs w:val="22"/>
        </w:rPr>
        <w:t>2022 r</w:t>
      </w:r>
      <w:r w:rsidR="00FF20B4">
        <w:rPr>
          <w:rFonts w:cs="Arial"/>
          <w:sz w:val="22"/>
          <w:szCs w:val="22"/>
        </w:rPr>
        <w:t>oku</w:t>
      </w:r>
      <w:r w:rsidRPr="00317DE2">
        <w:rPr>
          <w:rFonts w:cs="Arial"/>
          <w:sz w:val="22"/>
          <w:szCs w:val="22"/>
        </w:rPr>
        <w:t xml:space="preserve"> - 189 osób), F10 - F19 – 18 860 osób (w 2022 r</w:t>
      </w:r>
      <w:r w:rsidR="00FF20B4">
        <w:rPr>
          <w:rFonts w:cs="Arial"/>
          <w:sz w:val="22"/>
          <w:szCs w:val="22"/>
        </w:rPr>
        <w:t>oku</w:t>
      </w:r>
      <w:r w:rsidRPr="00317DE2">
        <w:rPr>
          <w:rFonts w:cs="Arial"/>
          <w:sz w:val="22"/>
          <w:szCs w:val="22"/>
        </w:rPr>
        <w:t xml:space="preserve"> -  24 718 osób), X42-X49 – 100 osób (</w:t>
      </w:r>
      <w:r w:rsidR="00FF20B4">
        <w:rPr>
          <w:rFonts w:cs="Arial"/>
          <w:sz w:val="22"/>
          <w:szCs w:val="22"/>
        </w:rPr>
        <w:t xml:space="preserve">w </w:t>
      </w:r>
      <w:r w:rsidRPr="00317DE2">
        <w:rPr>
          <w:rFonts w:cs="Arial"/>
          <w:sz w:val="22"/>
          <w:szCs w:val="22"/>
        </w:rPr>
        <w:t>2022 r</w:t>
      </w:r>
      <w:r w:rsidR="00FF20B4">
        <w:rPr>
          <w:rFonts w:cs="Arial"/>
          <w:sz w:val="22"/>
          <w:szCs w:val="22"/>
        </w:rPr>
        <w:t>oku</w:t>
      </w:r>
      <w:r w:rsidRPr="00317DE2">
        <w:rPr>
          <w:rFonts w:cs="Arial"/>
          <w:sz w:val="22"/>
          <w:szCs w:val="22"/>
        </w:rPr>
        <w:t xml:space="preserve"> - 156 osób), X62 – 12 osób (</w:t>
      </w:r>
      <w:r w:rsidR="00FF20B4">
        <w:rPr>
          <w:rFonts w:cs="Arial"/>
          <w:sz w:val="22"/>
          <w:szCs w:val="22"/>
        </w:rPr>
        <w:t xml:space="preserve">w </w:t>
      </w:r>
      <w:r w:rsidRPr="00317DE2">
        <w:rPr>
          <w:rFonts w:cs="Arial"/>
          <w:sz w:val="22"/>
          <w:szCs w:val="22"/>
        </w:rPr>
        <w:t>2022 r</w:t>
      </w:r>
      <w:r w:rsidR="00FF20B4">
        <w:rPr>
          <w:rFonts w:cs="Arial"/>
          <w:sz w:val="22"/>
          <w:szCs w:val="22"/>
        </w:rPr>
        <w:t>oku</w:t>
      </w:r>
      <w:r w:rsidRPr="00317DE2">
        <w:rPr>
          <w:rFonts w:cs="Arial"/>
          <w:sz w:val="22"/>
          <w:szCs w:val="22"/>
        </w:rPr>
        <w:t xml:space="preserve"> - 17 osób), Y12 – 4 osoby (</w:t>
      </w:r>
      <w:r w:rsidR="00FF20B4">
        <w:rPr>
          <w:rFonts w:cs="Arial"/>
          <w:sz w:val="22"/>
          <w:szCs w:val="22"/>
        </w:rPr>
        <w:t xml:space="preserve">w </w:t>
      </w:r>
      <w:r w:rsidRPr="00317DE2">
        <w:rPr>
          <w:rFonts w:cs="Arial"/>
          <w:sz w:val="22"/>
          <w:szCs w:val="22"/>
        </w:rPr>
        <w:t>2022 r</w:t>
      </w:r>
      <w:r w:rsidR="00FF20B4">
        <w:rPr>
          <w:rFonts w:cs="Arial"/>
          <w:sz w:val="22"/>
          <w:szCs w:val="22"/>
        </w:rPr>
        <w:t>oku</w:t>
      </w:r>
      <w:r w:rsidRPr="00317DE2">
        <w:rPr>
          <w:rFonts w:cs="Arial"/>
          <w:sz w:val="22"/>
          <w:szCs w:val="22"/>
        </w:rPr>
        <w:t xml:space="preserve"> - 4 osoby). </w:t>
      </w:r>
    </w:p>
    <w:p w14:paraId="7C554AD9" w14:textId="77777777" w:rsidR="00955250" w:rsidRDefault="00955250" w:rsidP="00955250">
      <w:pPr>
        <w:spacing w:after="0" w:line="360" w:lineRule="auto"/>
        <w:ind w:firstLine="426"/>
        <w:jc w:val="both"/>
        <w:rPr>
          <w:rFonts w:cs="Arial"/>
          <w:sz w:val="22"/>
          <w:szCs w:val="22"/>
        </w:rPr>
      </w:pPr>
      <w:r w:rsidRPr="00317DE2">
        <w:rPr>
          <w:rFonts w:cs="Arial"/>
          <w:sz w:val="22"/>
          <w:szCs w:val="22"/>
        </w:rPr>
        <w:t>Poniżej przedstawiono świadczenia realizowane w formach opieki dedykowanych leczeniu uzależnień dorosłych w Polsce oraz województwie lubelskim. Dane dotyczące liczby pacjentów i liczby porad/osobodni obejmują świadczenia zrealizowane w wybranej formie leczenia, przez pacjentów od 18. roku życia.</w:t>
      </w:r>
    </w:p>
    <w:p w14:paraId="6F257066" w14:textId="77777777" w:rsidR="00955250" w:rsidRPr="00317DE2" w:rsidRDefault="00955250" w:rsidP="00955250">
      <w:pPr>
        <w:spacing w:after="0" w:line="360" w:lineRule="auto"/>
        <w:ind w:firstLine="426"/>
        <w:jc w:val="both"/>
        <w:rPr>
          <w:rFonts w:cs="Arial"/>
          <w:sz w:val="22"/>
          <w:szCs w:val="22"/>
        </w:rPr>
      </w:pPr>
    </w:p>
    <w:p w14:paraId="0A55E5C7" w14:textId="33A5E38C" w:rsidR="00955250" w:rsidRPr="0054713D" w:rsidRDefault="00955250" w:rsidP="00955250">
      <w:pPr>
        <w:pStyle w:val="Legenda"/>
        <w:keepNext/>
        <w:rPr>
          <w:sz w:val="20"/>
          <w:szCs w:val="16"/>
        </w:rPr>
      </w:pPr>
      <w:bookmarkStart w:id="89" w:name="_Toc214279704"/>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19</w:t>
      </w:r>
      <w:r w:rsidRPr="0054713D">
        <w:rPr>
          <w:sz w:val="20"/>
          <w:szCs w:val="16"/>
        </w:rPr>
        <w:fldChar w:fldCharType="end"/>
      </w:r>
      <w:r w:rsidRPr="0054713D">
        <w:rPr>
          <w:sz w:val="20"/>
          <w:szCs w:val="16"/>
        </w:rPr>
        <w:t>. Liczba dorosłych pacjentów wg. form leczenia</w:t>
      </w:r>
      <w:bookmarkEnd w:id="89"/>
    </w:p>
    <w:tbl>
      <w:tblPr>
        <w:tblStyle w:val="Tabelasiatki1jasnaakcent51"/>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2002"/>
        <w:gridCol w:w="1691"/>
      </w:tblGrid>
      <w:tr w:rsidR="00955250" w:rsidRPr="0054713D" w14:paraId="68FFEFD8" w14:textId="77777777" w:rsidTr="003901A0">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228" w:type="dxa"/>
            <w:tcBorders>
              <w:bottom w:val="none" w:sz="0" w:space="0" w:color="auto"/>
            </w:tcBorders>
            <w:noWrap/>
            <w:hideMark/>
          </w:tcPr>
          <w:p w14:paraId="1C5CCC5A" w14:textId="77777777" w:rsidR="00955250" w:rsidRPr="0054713D" w:rsidRDefault="00955250" w:rsidP="003901A0">
            <w:pPr>
              <w:rPr>
                <w:rFonts w:cs="Arial"/>
                <w:color w:val="000000"/>
                <w:sz w:val="20"/>
              </w:rPr>
            </w:pPr>
            <w:r w:rsidRPr="0054713D">
              <w:rPr>
                <w:rFonts w:cs="Arial"/>
                <w:color w:val="000000"/>
                <w:sz w:val="20"/>
              </w:rPr>
              <w:t>Poradnie Leczenia Uzależnień</w:t>
            </w:r>
          </w:p>
        </w:tc>
        <w:tc>
          <w:tcPr>
            <w:tcW w:w="2002" w:type="dxa"/>
            <w:tcBorders>
              <w:bottom w:val="none" w:sz="0" w:space="0" w:color="auto"/>
            </w:tcBorders>
            <w:noWrap/>
            <w:hideMark/>
          </w:tcPr>
          <w:p w14:paraId="2F184FFE" w14:textId="77777777" w:rsidR="00955250" w:rsidRPr="0054713D" w:rsidRDefault="00955250" w:rsidP="003901A0">
            <w:pPr>
              <w:jc w:val="right"/>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Lubelskie</w:t>
            </w:r>
          </w:p>
        </w:tc>
        <w:tc>
          <w:tcPr>
            <w:tcW w:w="1691" w:type="dxa"/>
            <w:tcBorders>
              <w:bottom w:val="none" w:sz="0" w:space="0" w:color="auto"/>
            </w:tcBorders>
            <w:noWrap/>
            <w:hideMark/>
          </w:tcPr>
          <w:p w14:paraId="52C19F0F" w14:textId="77777777" w:rsidR="00955250" w:rsidRPr="0054713D" w:rsidRDefault="00955250" w:rsidP="003901A0">
            <w:pPr>
              <w:jc w:val="right"/>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Polska</w:t>
            </w:r>
          </w:p>
        </w:tc>
      </w:tr>
      <w:tr w:rsidR="00955250" w:rsidRPr="0054713D" w14:paraId="2B14806C"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3DA112CD"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pacjentów: </w:t>
            </w:r>
          </w:p>
        </w:tc>
        <w:tc>
          <w:tcPr>
            <w:tcW w:w="2002" w:type="dxa"/>
            <w:noWrap/>
            <w:hideMark/>
          </w:tcPr>
          <w:p w14:paraId="675B1A70"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13 042</w:t>
            </w:r>
          </w:p>
        </w:tc>
        <w:tc>
          <w:tcPr>
            <w:tcW w:w="1691" w:type="dxa"/>
            <w:noWrap/>
            <w:hideMark/>
          </w:tcPr>
          <w:p w14:paraId="2D121DF8"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227 653</w:t>
            </w:r>
          </w:p>
        </w:tc>
      </w:tr>
      <w:tr w:rsidR="00955250" w:rsidRPr="0054713D" w14:paraId="3B430832"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4C8F7418"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porad: </w:t>
            </w:r>
          </w:p>
        </w:tc>
        <w:tc>
          <w:tcPr>
            <w:tcW w:w="2002" w:type="dxa"/>
            <w:noWrap/>
            <w:hideMark/>
          </w:tcPr>
          <w:p w14:paraId="366593C9"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151 419</w:t>
            </w:r>
          </w:p>
        </w:tc>
        <w:tc>
          <w:tcPr>
            <w:tcW w:w="1691" w:type="dxa"/>
            <w:noWrap/>
            <w:hideMark/>
          </w:tcPr>
          <w:p w14:paraId="71E36267"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3 057 123</w:t>
            </w:r>
          </w:p>
        </w:tc>
      </w:tr>
      <w:tr w:rsidR="00955250" w:rsidRPr="0054713D" w14:paraId="685E2691"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159E4CE5" w14:textId="77777777" w:rsidR="00955250" w:rsidRPr="0054713D" w:rsidRDefault="00955250" w:rsidP="003901A0">
            <w:pPr>
              <w:rPr>
                <w:rFonts w:cs="Arial"/>
                <w:b w:val="0"/>
                <w:bCs w:val="0"/>
                <w:color w:val="000000"/>
                <w:sz w:val="20"/>
              </w:rPr>
            </w:pPr>
            <w:r w:rsidRPr="0054713D">
              <w:rPr>
                <w:rFonts w:cs="Arial"/>
                <w:b w:val="0"/>
                <w:bCs w:val="0"/>
                <w:color w:val="000000"/>
                <w:sz w:val="20"/>
              </w:rPr>
              <w:t>Liczba pacjentów na 100 tys. ludności</w:t>
            </w:r>
          </w:p>
        </w:tc>
        <w:tc>
          <w:tcPr>
            <w:tcW w:w="2002" w:type="dxa"/>
            <w:noWrap/>
            <w:hideMark/>
          </w:tcPr>
          <w:p w14:paraId="74F8A1CA"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789</w:t>
            </w:r>
          </w:p>
        </w:tc>
        <w:tc>
          <w:tcPr>
            <w:tcW w:w="1691" w:type="dxa"/>
            <w:noWrap/>
            <w:hideMark/>
          </w:tcPr>
          <w:p w14:paraId="0163AFDB"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742,2</w:t>
            </w:r>
          </w:p>
        </w:tc>
      </w:tr>
      <w:tr w:rsidR="00955250" w:rsidRPr="0054713D" w14:paraId="7C6A0BF9"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7EFA89DA" w14:textId="77777777" w:rsidR="00955250" w:rsidRPr="0054713D" w:rsidRDefault="00955250" w:rsidP="003901A0">
            <w:pPr>
              <w:rPr>
                <w:rFonts w:cs="Arial"/>
                <w:b w:val="0"/>
                <w:bCs w:val="0"/>
                <w:color w:val="000000"/>
                <w:sz w:val="20"/>
              </w:rPr>
            </w:pPr>
            <w:r w:rsidRPr="0054713D">
              <w:rPr>
                <w:rFonts w:cs="Arial"/>
                <w:b w:val="0"/>
                <w:bCs w:val="0"/>
                <w:color w:val="000000"/>
                <w:sz w:val="20"/>
              </w:rPr>
              <w:t>Liczba porad na 100 tys. ludności</w:t>
            </w:r>
          </w:p>
        </w:tc>
        <w:tc>
          <w:tcPr>
            <w:tcW w:w="2002" w:type="dxa"/>
            <w:noWrap/>
            <w:hideMark/>
          </w:tcPr>
          <w:p w14:paraId="6C875B31"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9 157</w:t>
            </w:r>
          </w:p>
        </w:tc>
        <w:tc>
          <w:tcPr>
            <w:tcW w:w="1691" w:type="dxa"/>
            <w:noWrap/>
            <w:hideMark/>
          </w:tcPr>
          <w:p w14:paraId="1FC24F54"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9 612,1</w:t>
            </w:r>
          </w:p>
        </w:tc>
      </w:tr>
      <w:tr w:rsidR="00955250" w:rsidRPr="0054713D" w14:paraId="23587097"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8921" w:type="dxa"/>
            <w:gridSpan w:val="3"/>
            <w:noWrap/>
            <w:hideMark/>
          </w:tcPr>
          <w:p w14:paraId="0B5A5415" w14:textId="77777777" w:rsidR="00955250" w:rsidRPr="0054713D" w:rsidRDefault="00955250" w:rsidP="003901A0">
            <w:pPr>
              <w:rPr>
                <w:rFonts w:cs="Arial"/>
                <w:color w:val="000000"/>
                <w:sz w:val="20"/>
              </w:rPr>
            </w:pPr>
            <w:r w:rsidRPr="0054713D">
              <w:rPr>
                <w:rFonts w:cs="Arial"/>
                <w:color w:val="000000"/>
                <w:sz w:val="20"/>
              </w:rPr>
              <w:t>Oddziały Dzienne Leczenia Uzależnień</w:t>
            </w:r>
          </w:p>
        </w:tc>
      </w:tr>
      <w:tr w:rsidR="00955250" w:rsidRPr="0054713D" w14:paraId="7D28EAAD"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12E404DC"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pacjentów: </w:t>
            </w:r>
          </w:p>
        </w:tc>
        <w:tc>
          <w:tcPr>
            <w:tcW w:w="2002" w:type="dxa"/>
            <w:noWrap/>
            <w:hideMark/>
          </w:tcPr>
          <w:p w14:paraId="509B21A5"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597</w:t>
            </w:r>
          </w:p>
        </w:tc>
        <w:tc>
          <w:tcPr>
            <w:tcW w:w="1691" w:type="dxa"/>
            <w:noWrap/>
            <w:hideMark/>
          </w:tcPr>
          <w:p w14:paraId="6A6699D8"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11 862</w:t>
            </w:r>
          </w:p>
        </w:tc>
      </w:tr>
      <w:tr w:rsidR="00955250" w:rsidRPr="0054713D" w14:paraId="7575519E"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25BFEEAD"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porad: </w:t>
            </w:r>
          </w:p>
        </w:tc>
        <w:tc>
          <w:tcPr>
            <w:tcW w:w="2002" w:type="dxa"/>
            <w:noWrap/>
            <w:hideMark/>
          </w:tcPr>
          <w:p w14:paraId="4F343831"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21 418</w:t>
            </w:r>
          </w:p>
        </w:tc>
        <w:tc>
          <w:tcPr>
            <w:tcW w:w="1691" w:type="dxa"/>
            <w:noWrap/>
            <w:hideMark/>
          </w:tcPr>
          <w:p w14:paraId="215C855F"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372 880</w:t>
            </w:r>
          </w:p>
        </w:tc>
      </w:tr>
      <w:tr w:rsidR="00955250" w:rsidRPr="0054713D" w14:paraId="47CEEC2A"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30C91EDF" w14:textId="77777777" w:rsidR="00955250" w:rsidRPr="0054713D" w:rsidRDefault="00955250" w:rsidP="003901A0">
            <w:pPr>
              <w:rPr>
                <w:rFonts w:cs="Arial"/>
                <w:b w:val="0"/>
                <w:bCs w:val="0"/>
                <w:color w:val="000000"/>
                <w:sz w:val="20"/>
              </w:rPr>
            </w:pPr>
            <w:r w:rsidRPr="0054713D">
              <w:rPr>
                <w:rFonts w:cs="Arial"/>
                <w:b w:val="0"/>
                <w:bCs w:val="0"/>
                <w:color w:val="000000"/>
                <w:sz w:val="20"/>
              </w:rPr>
              <w:t>Liczba pacjentów na 100 tys. ludności</w:t>
            </w:r>
          </w:p>
        </w:tc>
        <w:tc>
          <w:tcPr>
            <w:tcW w:w="2002" w:type="dxa"/>
            <w:noWrap/>
            <w:hideMark/>
          </w:tcPr>
          <w:p w14:paraId="2EB2303F"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36</w:t>
            </w:r>
          </w:p>
        </w:tc>
        <w:tc>
          <w:tcPr>
            <w:tcW w:w="1691" w:type="dxa"/>
            <w:noWrap/>
            <w:hideMark/>
          </w:tcPr>
          <w:p w14:paraId="04F1B58F"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37,9</w:t>
            </w:r>
          </w:p>
        </w:tc>
      </w:tr>
      <w:tr w:rsidR="00955250" w:rsidRPr="0054713D" w14:paraId="172262A9"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6846F074"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osobodni na 100 tys. ludności: </w:t>
            </w:r>
          </w:p>
        </w:tc>
        <w:tc>
          <w:tcPr>
            <w:tcW w:w="2002" w:type="dxa"/>
            <w:noWrap/>
            <w:hideMark/>
          </w:tcPr>
          <w:p w14:paraId="0483933F"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1 295</w:t>
            </w:r>
          </w:p>
        </w:tc>
        <w:tc>
          <w:tcPr>
            <w:tcW w:w="1691" w:type="dxa"/>
            <w:noWrap/>
            <w:hideMark/>
          </w:tcPr>
          <w:p w14:paraId="46B48A17"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1 186,6</w:t>
            </w:r>
          </w:p>
        </w:tc>
      </w:tr>
      <w:tr w:rsidR="00955250" w:rsidRPr="0054713D" w14:paraId="462A48F8"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8921" w:type="dxa"/>
            <w:gridSpan w:val="3"/>
            <w:noWrap/>
            <w:hideMark/>
          </w:tcPr>
          <w:p w14:paraId="1D2F99C1" w14:textId="77777777" w:rsidR="00955250" w:rsidRPr="0054713D" w:rsidRDefault="00955250" w:rsidP="003901A0">
            <w:pPr>
              <w:rPr>
                <w:rFonts w:cs="Arial"/>
                <w:color w:val="000000"/>
                <w:sz w:val="20"/>
              </w:rPr>
            </w:pPr>
            <w:r w:rsidRPr="0054713D">
              <w:rPr>
                <w:rFonts w:cs="Arial"/>
                <w:color w:val="000000"/>
                <w:sz w:val="20"/>
              </w:rPr>
              <w:lastRenderedPageBreak/>
              <w:t>Oddziały/Ośrodki Leczenia Uzależnień</w:t>
            </w:r>
          </w:p>
        </w:tc>
      </w:tr>
      <w:tr w:rsidR="00955250" w:rsidRPr="0054713D" w14:paraId="7536D357"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5F3E3359"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pacjentów: </w:t>
            </w:r>
          </w:p>
        </w:tc>
        <w:tc>
          <w:tcPr>
            <w:tcW w:w="2002" w:type="dxa"/>
            <w:noWrap/>
            <w:hideMark/>
          </w:tcPr>
          <w:p w14:paraId="7044D4B1"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2 009</w:t>
            </w:r>
          </w:p>
        </w:tc>
        <w:tc>
          <w:tcPr>
            <w:tcW w:w="1691" w:type="dxa"/>
            <w:noWrap/>
            <w:hideMark/>
          </w:tcPr>
          <w:p w14:paraId="1BA071B4"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39 551</w:t>
            </w:r>
          </w:p>
        </w:tc>
      </w:tr>
      <w:tr w:rsidR="00955250" w:rsidRPr="0054713D" w14:paraId="7BB53C2D"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53569F59"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porad: </w:t>
            </w:r>
          </w:p>
        </w:tc>
        <w:tc>
          <w:tcPr>
            <w:tcW w:w="2002" w:type="dxa"/>
            <w:noWrap/>
            <w:hideMark/>
          </w:tcPr>
          <w:p w14:paraId="3D2C0528"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94 782</w:t>
            </w:r>
          </w:p>
        </w:tc>
        <w:tc>
          <w:tcPr>
            <w:tcW w:w="1691" w:type="dxa"/>
            <w:noWrap/>
            <w:hideMark/>
          </w:tcPr>
          <w:p w14:paraId="5CCE919E"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2 037 104</w:t>
            </w:r>
          </w:p>
        </w:tc>
      </w:tr>
      <w:tr w:rsidR="00955250" w:rsidRPr="0054713D" w14:paraId="24048C7C"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72D28C1F" w14:textId="77777777" w:rsidR="00955250" w:rsidRPr="0054713D" w:rsidRDefault="00955250" w:rsidP="003901A0">
            <w:pPr>
              <w:rPr>
                <w:rFonts w:cs="Arial"/>
                <w:b w:val="0"/>
                <w:bCs w:val="0"/>
                <w:color w:val="000000"/>
                <w:sz w:val="20"/>
              </w:rPr>
            </w:pPr>
            <w:r w:rsidRPr="0054713D">
              <w:rPr>
                <w:rFonts w:cs="Arial"/>
                <w:b w:val="0"/>
                <w:bCs w:val="0"/>
                <w:color w:val="000000"/>
                <w:sz w:val="20"/>
              </w:rPr>
              <w:t>Liczba pacjentów na 100 tys. ludności</w:t>
            </w:r>
          </w:p>
        </w:tc>
        <w:tc>
          <w:tcPr>
            <w:tcW w:w="2002" w:type="dxa"/>
            <w:noWrap/>
            <w:hideMark/>
          </w:tcPr>
          <w:p w14:paraId="1256722F"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121</w:t>
            </w:r>
          </w:p>
        </w:tc>
        <w:tc>
          <w:tcPr>
            <w:tcW w:w="1691" w:type="dxa"/>
            <w:noWrap/>
            <w:hideMark/>
          </w:tcPr>
          <w:p w14:paraId="19671E5D"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137,9</w:t>
            </w:r>
          </w:p>
        </w:tc>
      </w:tr>
      <w:tr w:rsidR="00955250" w:rsidRPr="0054713D" w14:paraId="0A268044"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5D8E3B73"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osobodni na 100 tys. ludności: </w:t>
            </w:r>
          </w:p>
        </w:tc>
        <w:tc>
          <w:tcPr>
            <w:tcW w:w="2002" w:type="dxa"/>
            <w:noWrap/>
            <w:hideMark/>
          </w:tcPr>
          <w:p w14:paraId="348B92C7"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5 732</w:t>
            </w:r>
          </w:p>
        </w:tc>
        <w:tc>
          <w:tcPr>
            <w:tcW w:w="1691" w:type="dxa"/>
            <w:noWrap/>
            <w:hideMark/>
          </w:tcPr>
          <w:p w14:paraId="698ABAA0"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70 861,0</w:t>
            </w:r>
          </w:p>
        </w:tc>
      </w:tr>
      <w:tr w:rsidR="00955250" w:rsidRPr="0054713D" w14:paraId="4016266E"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8921" w:type="dxa"/>
            <w:gridSpan w:val="3"/>
            <w:noWrap/>
            <w:hideMark/>
          </w:tcPr>
          <w:p w14:paraId="02137903" w14:textId="77777777" w:rsidR="00955250" w:rsidRPr="0054713D" w:rsidRDefault="00955250" w:rsidP="003901A0">
            <w:pPr>
              <w:rPr>
                <w:rFonts w:cs="Arial"/>
                <w:color w:val="000000"/>
                <w:sz w:val="20"/>
              </w:rPr>
            </w:pPr>
            <w:r w:rsidRPr="0054713D">
              <w:rPr>
                <w:rFonts w:cs="Arial"/>
                <w:color w:val="000000"/>
                <w:sz w:val="20"/>
              </w:rPr>
              <w:t>Oddziały/Ośrodki Detoksykacji</w:t>
            </w:r>
          </w:p>
        </w:tc>
      </w:tr>
      <w:tr w:rsidR="00955250" w:rsidRPr="0054713D" w14:paraId="29A32004"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2CCD2899"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pacjentów: </w:t>
            </w:r>
          </w:p>
        </w:tc>
        <w:tc>
          <w:tcPr>
            <w:tcW w:w="2002" w:type="dxa"/>
            <w:noWrap/>
            <w:hideMark/>
          </w:tcPr>
          <w:p w14:paraId="559B4FDF"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1 655</w:t>
            </w:r>
          </w:p>
        </w:tc>
        <w:tc>
          <w:tcPr>
            <w:tcW w:w="1691" w:type="dxa"/>
            <w:noWrap/>
            <w:hideMark/>
          </w:tcPr>
          <w:p w14:paraId="4253F321"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37 024</w:t>
            </w:r>
          </w:p>
        </w:tc>
      </w:tr>
      <w:tr w:rsidR="00955250" w:rsidRPr="0054713D" w14:paraId="6E20EAAA"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721009EC"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porad: </w:t>
            </w:r>
          </w:p>
        </w:tc>
        <w:tc>
          <w:tcPr>
            <w:tcW w:w="2002" w:type="dxa"/>
            <w:noWrap/>
            <w:hideMark/>
          </w:tcPr>
          <w:p w14:paraId="6C59A615"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20 000</w:t>
            </w:r>
          </w:p>
        </w:tc>
        <w:tc>
          <w:tcPr>
            <w:tcW w:w="1691" w:type="dxa"/>
            <w:noWrap/>
            <w:hideMark/>
          </w:tcPr>
          <w:p w14:paraId="46455D81"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448 197</w:t>
            </w:r>
          </w:p>
        </w:tc>
      </w:tr>
      <w:tr w:rsidR="00955250" w:rsidRPr="0054713D" w14:paraId="7C187250"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7FD75C90" w14:textId="77777777" w:rsidR="00955250" w:rsidRPr="0054713D" w:rsidRDefault="00955250" w:rsidP="003901A0">
            <w:pPr>
              <w:rPr>
                <w:rFonts w:cs="Arial"/>
                <w:b w:val="0"/>
                <w:bCs w:val="0"/>
                <w:color w:val="000000"/>
                <w:sz w:val="20"/>
              </w:rPr>
            </w:pPr>
            <w:r w:rsidRPr="0054713D">
              <w:rPr>
                <w:rFonts w:cs="Arial"/>
                <w:b w:val="0"/>
                <w:bCs w:val="0"/>
                <w:color w:val="000000"/>
                <w:sz w:val="20"/>
              </w:rPr>
              <w:t>Liczba pacjentów na 100 tys. ludności</w:t>
            </w:r>
          </w:p>
        </w:tc>
        <w:tc>
          <w:tcPr>
            <w:tcW w:w="2002" w:type="dxa"/>
            <w:noWrap/>
            <w:hideMark/>
          </w:tcPr>
          <w:p w14:paraId="0406F43B"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100</w:t>
            </w:r>
          </w:p>
        </w:tc>
        <w:tc>
          <w:tcPr>
            <w:tcW w:w="1691" w:type="dxa"/>
            <w:noWrap/>
            <w:hideMark/>
          </w:tcPr>
          <w:p w14:paraId="19D42EE9"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129,2</w:t>
            </w:r>
          </w:p>
        </w:tc>
      </w:tr>
      <w:tr w:rsidR="00955250" w:rsidRPr="0054713D" w14:paraId="12E2E89B"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50E666D1"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osobodni na 100 tys. ludności: </w:t>
            </w:r>
          </w:p>
        </w:tc>
        <w:tc>
          <w:tcPr>
            <w:tcW w:w="2002" w:type="dxa"/>
            <w:noWrap/>
            <w:hideMark/>
          </w:tcPr>
          <w:p w14:paraId="32032E3A"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1 210</w:t>
            </w:r>
          </w:p>
        </w:tc>
        <w:tc>
          <w:tcPr>
            <w:tcW w:w="1691" w:type="dxa"/>
            <w:noWrap/>
            <w:hideMark/>
          </w:tcPr>
          <w:p w14:paraId="3F1139CB"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1 590,3</w:t>
            </w:r>
          </w:p>
        </w:tc>
      </w:tr>
      <w:tr w:rsidR="00955250" w:rsidRPr="0054713D" w14:paraId="3EF2C4E3"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8921" w:type="dxa"/>
            <w:gridSpan w:val="3"/>
            <w:noWrap/>
            <w:hideMark/>
          </w:tcPr>
          <w:p w14:paraId="26023D34" w14:textId="77777777" w:rsidR="00955250" w:rsidRPr="0054713D" w:rsidRDefault="00955250" w:rsidP="003901A0">
            <w:pPr>
              <w:rPr>
                <w:rFonts w:cs="Arial"/>
                <w:color w:val="000000"/>
                <w:sz w:val="20"/>
              </w:rPr>
            </w:pPr>
            <w:r w:rsidRPr="0054713D">
              <w:rPr>
                <w:rFonts w:cs="Arial"/>
                <w:color w:val="000000"/>
                <w:sz w:val="20"/>
              </w:rPr>
              <w:t>Hostele dla Uzależnionych</w:t>
            </w:r>
          </w:p>
        </w:tc>
      </w:tr>
      <w:tr w:rsidR="00955250" w:rsidRPr="0054713D" w14:paraId="441152D4"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02781FDF"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pacjentów: </w:t>
            </w:r>
          </w:p>
        </w:tc>
        <w:tc>
          <w:tcPr>
            <w:tcW w:w="2002" w:type="dxa"/>
            <w:noWrap/>
            <w:hideMark/>
          </w:tcPr>
          <w:p w14:paraId="556B5499"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13</w:t>
            </w:r>
          </w:p>
        </w:tc>
        <w:tc>
          <w:tcPr>
            <w:tcW w:w="1691" w:type="dxa"/>
            <w:noWrap/>
            <w:hideMark/>
          </w:tcPr>
          <w:p w14:paraId="11996055"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1 039</w:t>
            </w:r>
          </w:p>
        </w:tc>
      </w:tr>
      <w:tr w:rsidR="00955250" w:rsidRPr="0054713D" w14:paraId="4567492C"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67A36076"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porad: </w:t>
            </w:r>
          </w:p>
        </w:tc>
        <w:tc>
          <w:tcPr>
            <w:tcW w:w="2002" w:type="dxa"/>
            <w:noWrap/>
            <w:hideMark/>
          </w:tcPr>
          <w:p w14:paraId="01B879B8"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2 281</w:t>
            </w:r>
          </w:p>
        </w:tc>
        <w:tc>
          <w:tcPr>
            <w:tcW w:w="1691" w:type="dxa"/>
            <w:noWrap/>
            <w:hideMark/>
          </w:tcPr>
          <w:p w14:paraId="1D223C12"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121 818</w:t>
            </w:r>
          </w:p>
        </w:tc>
      </w:tr>
      <w:tr w:rsidR="00955250" w:rsidRPr="0054713D" w14:paraId="65DBE33B" w14:textId="77777777" w:rsidTr="003901A0">
        <w:trPr>
          <w:trHeight w:val="294"/>
        </w:trPr>
        <w:tc>
          <w:tcPr>
            <w:cnfStyle w:val="001000000000" w:firstRow="0" w:lastRow="0" w:firstColumn="1" w:lastColumn="0" w:oddVBand="0" w:evenVBand="0" w:oddHBand="0" w:evenHBand="0" w:firstRowFirstColumn="0" w:firstRowLastColumn="0" w:lastRowFirstColumn="0" w:lastRowLastColumn="0"/>
            <w:tcW w:w="5228" w:type="dxa"/>
            <w:noWrap/>
            <w:hideMark/>
          </w:tcPr>
          <w:p w14:paraId="266EE42B" w14:textId="77777777" w:rsidR="00955250" w:rsidRPr="0054713D" w:rsidRDefault="00955250" w:rsidP="003901A0">
            <w:pPr>
              <w:rPr>
                <w:rFonts w:cs="Arial"/>
                <w:b w:val="0"/>
                <w:bCs w:val="0"/>
                <w:color w:val="000000"/>
                <w:sz w:val="20"/>
              </w:rPr>
            </w:pPr>
            <w:r w:rsidRPr="0054713D">
              <w:rPr>
                <w:rFonts w:cs="Arial"/>
                <w:b w:val="0"/>
                <w:bCs w:val="0"/>
                <w:color w:val="000000"/>
                <w:sz w:val="20"/>
              </w:rPr>
              <w:t>Liczba pacjentów na 100 tys. ludności</w:t>
            </w:r>
          </w:p>
        </w:tc>
        <w:tc>
          <w:tcPr>
            <w:tcW w:w="2002" w:type="dxa"/>
            <w:noWrap/>
            <w:hideMark/>
          </w:tcPr>
          <w:p w14:paraId="07340E88"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w:t>
            </w:r>
          </w:p>
        </w:tc>
        <w:tc>
          <w:tcPr>
            <w:tcW w:w="1691" w:type="dxa"/>
            <w:noWrap/>
            <w:hideMark/>
          </w:tcPr>
          <w:p w14:paraId="731E20C4"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3,6</w:t>
            </w:r>
          </w:p>
        </w:tc>
      </w:tr>
      <w:tr w:rsidR="00955250" w:rsidRPr="0054713D" w14:paraId="74C2A810" w14:textId="77777777" w:rsidTr="003901A0">
        <w:trPr>
          <w:trHeight w:val="309"/>
        </w:trPr>
        <w:tc>
          <w:tcPr>
            <w:cnfStyle w:val="001000000000" w:firstRow="0" w:lastRow="0" w:firstColumn="1" w:lastColumn="0" w:oddVBand="0" w:evenVBand="0" w:oddHBand="0" w:evenHBand="0" w:firstRowFirstColumn="0" w:firstRowLastColumn="0" w:lastRowFirstColumn="0" w:lastRowLastColumn="0"/>
            <w:tcW w:w="5228" w:type="dxa"/>
            <w:noWrap/>
            <w:hideMark/>
          </w:tcPr>
          <w:p w14:paraId="3FA93B28" w14:textId="77777777" w:rsidR="00955250" w:rsidRPr="0054713D" w:rsidRDefault="00955250" w:rsidP="003901A0">
            <w:pPr>
              <w:rPr>
                <w:rFonts w:cs="Arial"/>
                <w:b w:val="0"/>
                <w:bCs w:val="0"/>
                <w:color w:val="000000"/>
                <w:sz w:val="20"/>
              </w:rPr>
            </w:pPr>
            <w:r w:rsidRPr="0054713D">
              <w:rPr>
                <w:rFonts w:cs="Arial"/>
                <w:b w:val="0"/>
                <w:bCs w:val="0"/>
                <w:color w:val="000000"/>
                <w:sz w:val="20"/>
              </w:rPr>
              <w:t xml:space="preserve">Liczba osobodni na 100 tys. ludności: </w:t>
            </w:r>
          </w:p>
        </w:tc>
        <w:tc>
          <w:tcPr>
            <w:tcW w:w="2002" w:type="dxa"/>
            <w:noWrap/>
            <w:hideMark/>
          </w:tcPr>
          <w:p w14:paraId="5A4F3683"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138</w:t>
            </w:r>
          </w:p>
        </w:tc>
        <w:tc>
          <w:tcPr>
            <w:tcW w:w="1691" w:type="dxa"/>
            <w:noWrap/>
            <w:hideMark/>
          </w:tcPr>
          <w:p w14:paraId="2BEB1649" w14:textId="77777777" w:rsidR="00955250" w:rsidRPr="0054713D" w:rsidRDefault="00955250" w:rsidP="003901A0">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4713D">
              <w:rPr>
                <w:rFonts w:cs="Arial"/>
                <w:color w:val="000000"/>
                <w:sz w:val="20"/>
              </w:rPr>
              <w:t>423,1</w:t>
            </w:r>
          </w:p>
        </w:tc>
      </w:tr>
    </w:tbl>
    <w:p w14:paraId="6AB65AD5" w14:textId="77777777" w:rsidR="00955250" w:rsidRPr="005952CC" w:rsidRDefault="00955250" w:rsidP="00955250">
      <w:pPr>
        <w:spacing w:after="0" w:line="240" w:lineRule="auto"/>
        <w:ind w:firstLine="425"/>
        <w:jc w:val="both"/>
        <w:rPr>
          <w:rFonts w:cs="Arial"/>
          <w:sz w:val="18"/>
          <w:szCs w:val="18"/>
        </w:rPr>
      </w:pPr>
      <w:r w:rsidRPr="005952CC">
        <w:rPr>
          <w:rFonts w:cs="Arial"/>
          <w:sz w:val="18"/>
          <w:szCs w:val="18"/>
        </w:rPr>
        <w:t>Źródło: opracowanie własne LOPS, w oparciu o dane NFZ, na podstawie Mapy potrzeb zdrowotnych 2022-2026, Analizy, Opieka psychiatryczna i leczenie uzależnień, Leczenie uzależnień – dorośli, https://basiw.mz.gov.pl wg. stanu na dzień 25.11.2024 r.</w:t>
      </w:r>
    </w:p>
    <w:p w14:paraId="70C7824E" w14:textId="77777777" w:rsidR="00955250" w:rsidRDefault="00955250" w:rsidP="00955250">
      <w:pPr>
        <w:spacing w:after="0" w:line="360" w:lineRule="auto"/>
        <w:ind w:firstLine="426"/>
        <w:jc w:val="both"/>
        <w:rPr>
          <w:rFonts w:cs="Arial"/>
          <w:sz w:val="22"/>
          <w:szCs w:val="22"/>
        </w:rPr>
      </w:pPr>
    </w:p>
    <w:p w14:paraId="30DEDDE0" w14:textId="323276CF" w:rsidR="00955250" w:rsidRPr="00317DE2" w:rsidRDefault="00955250" w:rsidP="00955250">
      <w:pPr>
        <w:spacing w:after="0" w:line="360" w:lineRule="auto"/>
        <w:ind w:firstLine="426"/>
        <w:jc w:val="both"/>
        <w:rPr>
          <w:rFonts w:cs="Arial"/>
          <w:sz w:val="22"/>
          <w:szCs w:val="22"/>
        </w:rPr>
      </w:pPr>
      <w:r w:rsidRPr="00317DE2">
        <w:rPr>
          <w:rFonts w:cs="Arial"/>
          <w:sz w:val="22"/>
          <w:szCs w:val="22"/>
        </w:rPr>
        <w:t>Z danych za 2023 r</w:t>
      </w:r>
      <w:r w:rsidR="00FF20B4">
        <w:rPr>
          <w:rFonts w:cs="Arial"/>
          <w:sz w:val="22"/>
          <w:szCs w:val="22"/>
        </w:rPr>
        <w:t>ok</w:t>
      </w:r>
      <w:r w:rsidRPr="00317DE2">
        <w:rPr>
          <w:rFonts w:cs="Arial"/>
          <w:sz w:val="22"/>
          <w:szCs w:val="22"/>
        </w:rPr>
        <w:t xml:space="preserve"> zaprezentowanych w tabeli </w:t>
      </w:r>
      <w:r w:rsidR="00FF20B4">
        <w:rPr>
          <w:rFonts w:cs="Arial"/>
          <w:sz w:val="22"/>
          <w:szCs w:val="22"/>
        </w:rPr>
        <w:t>19</w:t>
      </w:r>
      <w:r>
        <w:rPr>
          <w:rFonts w:cs="Arial"/>
          <w:sz w:val="22"/>
          <w:szCs w:val="22"/>
        </w:rPr>
        <w:t xml:space="preserve"> </w:t>
      </w:r>
      <w:r w:rsidRPr="00317DE2">
        <w:rPr>
          <w:rFonts w:cs="Arial"/>
          <w:sz w:val="22"/>
          <w:szCs w:val="22"/>
        </w:rPr>
        <w:t>wynika, że województwo lubelskie ma wyższy wskaźnik liczby pacjentów na 100 tys. ludności w poradniach leczenia uzależnień (789) w porównaniu do średniej krajowej (742,2). W oddziałach dziennych leczenia uzależnień wskaźnik liczby pacjentów na 100 tys. ludności w województwie lubelskim (36) jest niższy</w:t>
      </w:r>
      <w:r w:rsidR="00FF20B4">
        <w:rPr>
          <w:rFonts w:cs="Arial"/>
          <w:sz w:val="22"/>
          <w:szCs w:val="22"/>
        </w:rPr>
        <w:t>,</w:t>
      </w:r>
      <w:r w:rsidRPr="00317DE2">
        <w:rPr>
          <w:rFonts w:cs="Arial"/>
          <w:sz w:val="22"/>
          <w:szCs w:val="22"/>
        </w:rPr>
        <w:t xml:space="preserve"> niż średnia krajowa (37,9). W oddziałach/ośrodkach leczenia uzależnień wskaźnik liczby pacjentów na 100 tys. ludności w województwie lubelskim (121) jest niższy</w:t>
      </w:r>
      <w:r w:rsidR="00FF20B4">
        <w:rPr>
          <w:rFonts w:cs="Arial"/>
          <w:sz w:val="22"/>
          <w:szCs w:val="22"/>
        </w:rPr>
        <w:t>,</w:t>
      </w:r>
      <w:r w:rsidRPr="00317DE2">
        <w:rPr>
          <w:rFonts w:cs="Arial"/>
          <w:sz w:val="22"/>
          <w:szCs w:val="22"/>
        </w:rPr>
        <w:t xml:space="preserve"> niż średnia krajowa (137,9). W</w:t>
      </w:r>
      <w:r>
        <w:rPr>
          <w:rFonts w:cs="Arial"/>
          <w:sz w:val="22"/>
          <w:szCs w:val="22"/>
        </w:rPr>
        <w:t> </w:t>
      </w:r>
      <w:r w:rsidRPr="00317DE2">
        <w:rPr>
          <w:rFonts w:cs="Arial"/>
          <w:sz w:val="22"/>
          <w:szCs w:val="22"/>
        </w:rPr>
        <w:t>oddziałach/ośrodkach detoksykacji wskaźnik liczby pacjentów na 100 tys. ludności w</w:t>
      </w:r>
      <w:r>
        <w:rPr>
          <w:rFonts w:cs="Arial"/>
          <w:sz w:val="22"/>
          <w:szCs w:val="22"/>
        </w:rPr>
        <w:t> </w:t>
      </w:r>
      <w:r w:rsidRPr="00317DE2">
        <w:rPr>
          <w:rFonts w:cs="Arial"/>
          <w:sz w:val="22"/>
          <w:szCs w:val="22"/>
        </w:rPr>
        <w:t>województwie lubelskim (100) jest niższy</w:t>
      </w:r>
      <w:r w:rsidR="00FF20B4">
        <w:rPr>
          <w:rFonts w:cs="Arial"/>
          <w:sz w:val="22"/>
          <w:szCs w:val="22"/>
        </w:rPr>
        <w:t>,</w:t>
      </w:r>
      <w:r w:rsidRPr="00317DE2">
        <w:rPr>
          <w:rFonts w:cs="Arial"/>
          <w:sz w:val="22"/>
          <w:szCs w:val="22"/>
        </w:rPr>
        <w:t xml:space="preserve"> niż średnia krajowa (129,2). W hostelach dla uzależnionych wskaźnik liczby pacjentów na 100 tys. ludności w województwie lubelskim (1) jest niższy</w:t>
      </w:r>
      <w:r w:rsidR="00FF20B4">
        <w:rPr>
          <w:rFonts w:cs="Arial"/>
          <w:sz w:val="22"/>
          <w:szCs w:val="22"/>
        </w:rPr>
        <w:t>,</w:t>
      </w:r>
      <w:r w:rsidRPr="00317DE2">
        <w:rPr>
          <w:rFonts w:cs="Arial"/>
          <w:sz w:val="22"/>
          <w:szCs w:val="22"/>
        </w:rPr>
        <w:t xml:space="preserve"> niż średnia krajowa (4).</w:t>
      </w:r>
    </w:p>
    <w:p w14:paraId="70F2B7CF" w14:textId="089D4404" w:rsidR="00955250" w:rsidRPr="00317DE2" w:rsidRDefault="00955250" w:rsidP="00955250">
      <w:pPr>
        <w:spacing w:after="0" w:line="360" w:lineRule="auto"/>
        <w:ind w:firstLine="426"/>
        <w:jc w:val="both"/>
        <w:rPr>
          <w:rFonts w:cs="Arial"/>
          <w:sz w:val="22"/>
          <w:szCs w:val="22"/>
        </w:rPr>
      </w:pPr>
      <w:r w:rsidRPr="00317DE2">
        <w:rPr>
          <w:rFonts w:cs="Arial"/>
          <w:sz w:val="22"/>
          <w:szCs w:val="22"/>
        </w:rPr>
        <w:tab/>
        <w:t xml:space="preserve">Na terenie każdego województwa zarząd województwa organizuje podmioty lecznicze, które swoim zakresem obejmują działalność leczniczą (stacjonarną i całodobową) w zakresie leczenia odwykowego oraz wojewódzki ośrodek terapii uzależnienia i współuzależnienia. Samorząd Województwa Lubelskiego jest podmiotem tworzącym dla następujących </w:t>
      </w:r>
      <w:r w:rsidRPr="00317DE2">
        <w:rPr>
          <w:rFonts w:cs="Arial"/>
          <w:sz w:val="22"/>
          <w:szCs w:val="22"/>
        </w:rPr>
        <w:lastRenderedPageBreak/>
        <w:t>samodzielnych publicznych zakładów opieki zdrowotnej, w zakresie których znajdują się kompetencje przeciwdziałania uzależnieniom</w:t>
      </w:r>
      <w:r>
        <w:rPr>
          <w:rFonts w:cs="Arial"/>
          <w:sz w:val="22"/>
          <w:szCs w:val="22"/>
        </w:rPr>
        <w:t xml:space="preserve"> w zakresie narkomanii</w:t>
      </w:r>
      <w:r w:rsidRPr="00317DE2">
        <w:rPr>
          <w:rFonts w:cs="Arial"/>
          <w:sz w:val="22"/>
          <w:szCs w:val="22"/>
        </w:rPr>
        <w:t xml:space="preserve">: </w:t>
      </w:r>
    </w:p>
    <w:p w14:paraId="2A826D72"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1.</w:t>
      </w:r>
      <w:r w:rsidRPr="00317DE2">
        <w:rPr>
          <w:rFonts w:cs="Arial"/>
          <w:sz w:val="22"/>
          <w:szCs w:val="22"/>
        </w:rPr>
        <w:tab/>
        <w:t>Wojewódzki Szpital dla Nerwowo i Psychicznie Chorych w Suchowoli;</w:t>
      </w:r>
    </w:p>
    <w:p w14:paraId="68AD81F5"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2.</w:t>
      </w:r>
      <w:r w:rsidRPr="00317DE2">
        <w:rPr>
          <w:rFonts w:cs="Arial"/>
          <w:sz w:val="22"/>
          <w:szCs w:val="22"/>
        </w:rPr>
        <w:tab/>
        <w:t>Szpital Neuropsychiatryczny im. Prof. Mieczysława Kaczyńskiego Samodzielny Publiczny Zakład Opieki Zdrowotnej w Lublinie;</w:t>
      </w:r>
    </w:p>
    <w:p w14:paraId="635F8226"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3.</w:t>
      </w:r>
      <w:r w:rsidRPr="00317DE2">
        <w:rPr>
          <w:rFonts w:cs="Arial"/>
          <w:sz w:val="22"/>
          <w:szCs w:val="22"/>
        </w:rPr>
        <w:tab/>
        <w:t>Samodzielny Publiczny Wojewódzki Szpital Psychiatryczny w Radecznicy;</w:t>
      </w:r>
    </w:p>
    <w:p w14:paraId="6210C617"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4.</w:t>
      </w:r>
      <w:r w:rsidRPr="00317DE2">
        <w:rPr>
          <w:rFonts w:cs="Arial"/>
          <w:sz w:val="22"/>
          <w:szCs w:val="22"/>
        </w:rPr>
        <w:tab/>
        <w:t>Samodzielny Publiczny Psychiatryczny Zakład Opiekuńczo – Leczniczy w Celejowie;</w:t>
      </w:r>
    </w:p>
    <w:p w14:paraId="388C5BD7" w14:textId="1BFC29C3" w:rsidR="00955250" w:rsidRPr="00317DE2" w:rsidRDefault="00955250" w:rsidP="00955250">
      <w:pPr>
        <w:spacing w:after="0" w:line="360" w:lineRule="auto"/>
        <w:ind w:firstLine="426"/>
        <w:jc w:val="both"/>
        <w:rPr>
          <w:rFonts w:cs="Arial"/>
          <w:sz w:val="22"/>
          <w:szCs w:val="22"/>
        </w:rPr>
      </w:pPr>
      <w:r w:rsidRPr="00317DE2">
        <w:rPr>
          <w:rFonts w:cs="Arial"/>
          <w:sz w:val="22"/>
          <w:szCs w:val="22"/>
        </w:rPr>
        <w:t>5.</w:t>
      </w:r>
      <w:r w:rsidRPr="00317DE2">
        <w:rPr>
          <w:rFonts w:cs="Arial"/>
          <w:sz w:val="22"/>
          <w:szCs w:val="22"/>
        </w:rPr>
        <w:tab/>
        <w:t>Centrum Zdrowia Psychicznego Oddział Terapii Uzależnień SP ZOZ w Radzyniu Podlaskim</w:t>
      </w:r>
      <w:r w:rsidR="00FF20B4">
        <w:rPr>
          <w:rFonts w:cs="Arial"/>
          <w:sz w:val="22"/>
          <w:szCs w:val="22"/>
        </w:rPr>
        <w:t>.</w:t>
      </w:r>
    </w:p>
    <w:p w14:paraId="7BAC07C4" w14:textId="33DAF163" w:rsidR="00955250" w:rsidRPr="005952CC" w:rsidRDefault="00955250" w:rsidP="00955250">
      <w:pPr>
        <w:spacing w:after="0" w:line="360" w:lineRule="auto"/>
        <w:ind w:firstLine="426"/>
        <w:jc w:val="both"/>
        <w:rPr>
          <w:rFonts w:cs="Arial"/>
          <w:sz w:val="22"/>
          <w:szCs w:val="22"/>
        </w:rPr>
      </w:pPr>
      <w:r w:rsidRPr="005952CC">
        <w:rPr>
          <w:rFonts w:cs="Arial"/>
          <w:sz w:val="22"/>
          <w:szCs w:val="22"/>
        </w:rPr>
        <w:t>Leczenie substytucyjne</w:t>
      </w:r>
      <w:r w:rsidR="00FF20B4">
        <w:rPr>
          <w:rFonts w:cs="Arial"/>
          <w:sz w:val="22"/>
          <w:szCs w:val="22"/>
        </w:rPr>
        <w:t>,</w:t>
      </w:r>
      <w:r w:rsidRPr="005952CC">
        <w:rPr>
          <w:rFonts w:cs="Arial"/>
          <w:sz w:val="22"/>
          <w:szCs w:val="22"/>
        </w:rPr>
        <w:t xml:space="preserve"> to farmakologiczna metoda leczenia osób uzależnionych od </w:t>
      </w:r>
      <w:proofErr w:type="spellStart"/>
      <w:r w:rsidRPr="005952CC">
        <w:rPr>
          <w:rFonts w:cs="Arial"/>
          <w:sz w:val="22"/>
          <w:szCs w:val="22"/>
        </w:rPr>
        <w:t>opioidów</w:t>
      </w:r>
      <w:proofErr w:type="spellEnd"/>
      <w:r w:rsidRPr="005952CC">
        <w:rPr>
          <w:rFonts w:cs="Arial"/>
          <w:sz w:val="22"/>
          <w:szCs w:val="22"/>
        </w:rPr>
        <w:t xml:space="preserve">, która w połączeniu z opieką socjalną, medyczną oraz psychologiczną daje największe prawdopodobieństwo skuteczności leczenia spośród wszystkich innych dostępnych form leczenia. </w:t>
      </w:r>
    </w:p>
    <w:p w14:paraId="11B2E10B"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W woj</w:t>
      </w:r>
      <w:r>
        <w:rPr>
          <w:rFonts w:cs="Arial"/>
          <w:sz w:val="22"/>
          <w:szCs w:val="22"/>
        </w:rPr>
        <w:t>ewództwie</w:t>
      </w:r>
      <w:r w:rsidRPr="00317DE2">
        <w:rPr>
          <w:rFonts w:cs="Arial"/>
          <w:sz w:val="22"/>
          <w:szCs w:val="22"/>
        </w:rPr>
        <w:t xml:space="preserve"> lubelskim program leczenia substytucyjnego prowadzony jest przez dwa podmioty: OLU SPZOZ (Ośrodek Leczenia Uzależnień Samodzielny Publiczny Zakład Opieki Zdrowotnej) w Lublinie oraz Okręgowy Inspektorat Służby Więziennej w Lublinie (w warunkach penitencjarnych).</w:t>
      </w:r>
    </w:p>
    <w:p w14:paraId="167019C6" w14:textId="77777777" w:rsidR="00955250" w:rsidRPr="00317DE2" w:rsidRDefault="00955250" w:rsidP="00955250">
      <w:pPr>
        <w:spacing w:after="0" w:line="360" w:lineRule="auto"/>
        <w:ind w:firstLine="426"/>
        <w:jc w:val="both"/>
        <w:rPr>
          <w:rFonts w:cs="Arial"/>
          <w:b/>
          <w:sz w:val="22"/>
          <w:szCs w:val="22"/>
        </w:rPr>
      </w:pPr>
      <w:r w:rsidRPr="00317DE2">
        <w:rPr>
          <w:rFonts w:cs="Arial"/>
          <w:sz w:val="22"/>
          <w:szCs w:val="22"/>
        </w:rPr>
        <w:t>OLU SPZOZ w Lublinie</w:t>
      </w:r>
      <w:r w:rsidRPr="00317DE2">
        <w:rPr>
          <w:rStyle w:val="Odwoanieprzypisudolnego"/>
          <w:rFonts w:cs="Arial"/>
          <w:sz w:val="22"/>
          <w:szCs w:val="22"/>
        </w:rPr>
        <w:footnoteReference w:id="44"/>
      </w:r>
      <w:r w:rsidRPr="00317DE2">
        <w:rPr>
          <w:rFonts w:cs="Arial"/>
          <w:sz w:val="22"/>
          <w:szCs w:val="22"/>
        </w:rPr>
        <w:t xml:space="preserve"> oferuje pacjentom usługi o charakterze medyczno-terapeutycznym. Oferta skierowana jest do osób borykających się z problemem uzależnienia </w:t>
      </w:r>
      <w:r w:rsidRPr="00317DE2">
        <w:rPr>
          <w:rFonts w:cs="Arial"/>
          <w:sz w:val="22"/>
          <w:szCs w:val="22"/>
        </w:rPr>
        <w:br/>
        <w:t>i ich rodzin. Ponadto Ośrodek zajmuje się działalnością profilaktyczną z zakresu rozwiązywania problemów uzależnień pacjentów, zamieszkałych na terenie Lublina, województwa lubelskiego i kraju.</w:t>
      </w:r>
    </w:p>
    <w:p w14:paraId="65996BF0" w14:textId="77777777" w:rsidR="00955250" w:rsidRPr="00317DE2" w:rsidRDefault="00955250" w:rsidP="00955250">
      <w:pPr>
        <w:spacing w:after="0" w:line="360" w:lineRule="auto"/>
        <w:ind w:firstLine="426"/>
        <w:jc w:val="both"/>
        <w:rPr>
          <w:rFonts w:cs="Arial"/>
          <w:sz w:val="22"/>
          <w:szCs w:val="22"/>
        </w:rPr>
      </w:pPr>
      <w:r w:rsidRPr="00317DE2">
        <w:rPr>
          <w:rFonts w:cs="Arial"/>
          <w:sz w:val="22"/>
          <w:szCs w:val="22"/>
        </w:rPr>
        <w:t>W strukturze organizacyjnej Ośrodka wyodrębnione zostały poradnie specjalizujące się</w:t>
      </w:r>
      <w:r w:rsidRPr="00317DE2">
        <w:rPr>
          <w:rFonts w:cs="Arial"/>
          <w:sz w:val="22"/>
          <w:szCs w:val="22"/>
        </w:rPr>
        <w:br/>
        <w:t>w pracy z pacjentami wymagającymi diagnostyki i leczenia poszczególnych uzależnień. Program Terapii Substytucyjnej prowadzi działania terapeutyczne z zakresu readaptacji osób uzależnionych, mające na celu poprawę stanu somatycznego i psychicznego pacjentów,</w:t>
      </w:r>
      <w:r w:rsidRPr="00317DE2">
        <w:rPr>
          <w:rFonts w:cs="Arial"/>
          <w:sz w:val="22"/>
          <w:szCs w:val="22"/>
        </w:rPr>
        <w:br/>
        <w:t>a także ograniczenie rozprzestrzeniania się zakażeń HIV i innych.</w:t>
      </w:r>
    </w:p>
    <w:p w14:paraId="49CEBA11" w14:textId="2253B10B" w:rsidR="00955250" w:rsidRPr="00317DE2" w:rsidRDefault="00955250" w:rsidP="00955250">
      <w:pPr>
        <w:spacing w:after="0" w:line="360" w:lineRule="auto"/>
        <w:ind w:firstLine="425"/>
        <w:jc w:val="both"/>
        <w:rPr>
          <w:rFonts w:cs="Arial"/>
          <w:sz w:val="22"/>
          <w:szCs w:val="22"/>
        </w:rPr>
      </w:pPr>
      <w:bookmarkStart w:id="90" w:name="_Hlk213352976"/>
      <w:r w:rsidRPr="00317DE2">
        <w:rPr>
          <w:rFonts w:cs="Arial"/>
          <w:sz w:val="22"/>
          <w:szCs w:val="22"/>
        </w:rPr>
        <w:t>Jednak najważniejszym działaniem w zakresie redukcji szkód są działania, które mają charakter kompleksowy i wieloaspektowy. Takim działaniem jest inicjatywa Stowarzyszenia "</w:t>
      </w:r>
      <w:proofErr w:type="spellStart"/>
      <w:r w:rsidRPr="00317DE2">
        <w:rPr>
          <w:rFonts w:cs="Arial"/>
          <w:sz w:val="22"/>
          <w:szCs w:val="22"/>
        </w:rPr>
        <w:t>OdNowa</w:t>
      </w:r>
      <w:proofErr w:type="spellEnd"/>
      <w:r w:rsidRPr="00317DE2">
        <w:rPr>
          <w:rFonts w:cs="Arial"/>
          <w:sz w:val="22"/>
          <w:szCs w:val="22"/>
        </w:rPr>
        <w:t xml:space="preserve">" Centrum Wsparcia i Leczenia Uzależnień, które w styczniu 2025 r. uruchomiło Centrum Redukcji Szkód w Lublinie. Powstanie </w:t>
      </w:r>
      <w:proofErr w:type="spellStart"/>
      <w:r w:rsidRPr="00317DE2">
        <w:rPr>
          <w:rFonts w:cs="Arial"/>
          <w:sz w:val="22"/>
          <w:szCs w:val="22"/>
        </w:rPr>
        <w:t>CRSz</w:t>
      </w:r>
      <w:proofErr w:type="spellEnd"/>
      <w:r w:rsidRPr="00317DE2">
        <w:rPr>
          <w:rFonts w:cs="Arial"/>
          <w:sz w:val="22"/>
          <w:szCs w:val="22"/>
        </w:rPr>
        <w:t xml:space="preserve"> było odpowiedzią na realne potrzeby osób, które najczęściej pozostają poza zasięgiem tradycyjnych instytucji pomocowych – osób używających narkotyków drogą iniekcji, osób żyjących z HIV i HCV, osób wielokrotnie hospitalizowanych, często zakażonych chorobami przenoszonymi drogą krwi, osób żyjących w</w:t>
      </w:r>
      <w:r>
        <w:rPr>
          <w:rFonts w:cs="Arial"/>
          <w:sz w:val="22"/>
          <w:szCs w:val="22"/>
        </w:rPr>
        <w:t> </w:t>
      </w:r>
      <w:r w:rsidRPr="00317DE2">
        <w:rPr>
          <w:rFonts w:cs="Arial"/>
          <w:sz w:val="22"/>
          <w:szCs w:val="22"/>
        </w:rPr>
        <w:t>bezdomności, a także dotyczy to młodzież</w:t>
      </w:r>
      <w:r w:rsidR="00FF20B4">
        <w:rPr>
          <w:rFonts w:cs="Arial"/>
          <w:sz w:val="22"/>
          <w:szCs w:val="22"/>
        </w:rPr>
        <w:t>y</w:t>
      </w:r>
      <w:r w:rsidRPr="00317DE2">
        <w:rPr>
          <w:rFonts w:cs="Arial"/>
          <w:sz w:val="22"/>
          <w:szCs w:val="22"/>
        </w:rPr>
        <w:t xml:space="preserve"> i młodych dorosłych w sytuacji kryzysu, </w:t>
      </w:r>
      <w:r w:rsidRPr="00317DE2">
        <w:rPr>
          <w:rFonts w:cs="Arial"/>
          <w:sz w:val="22"/>
          <w:szCs w:val="22"/>
        </w:rPr>
        <w:lastRenderedPageBreak/>
        <w:t>eksperymentujących z substancjami psychoaktywnymi, a także tych, którzy w związku z</w:t>
      </w:r>
      <w:r>
        <w:rPr>
          <w:rFonts w:cs="Arial"/>
          <w:sz w:val="22"/>
          <w:szCs w:val="22"/>
        </w:rPr>
        <w:t> </w:t>
      </w:r>
      <w:r w:rsidRPr="00317DE2">
        <w:rPr>
          <w:rFonts w:cs="Arial"/>
          <w:sz w:val="22"/>
          <w:szCs w:val="22"/>
        </w:rPr>
        <w:t xml:space="preserve">uzależnieniem zmagają się z bezdomnością, ubóstwem czy konfliktami z prawem. To grupa niezwykle trudna do objęcia wsparciem. Często odrzucająca kontakt z instytucjami publicznymi, a jednocześnie doświadczająca wielowymiarowego wykluczenia społecznego i zdrowotnego. </w:t>
      </w:r>
      <w:proofErr w:type="spellStart"/>
      <w:r w:rsidRPr="00317DE2">
        <w:rPr>
          <w:rFonts w:cs="Arial"/>
          <w:sz w:val="22"/>
          <w:szCs w:val="22"/>
        </w:rPr>
        <w:t>CRSz</w:t>
      </w:r>
      <w:proofErr w:type="spellEnd"/>
      <w:r w:rsidRPr="00317DE2">
        <w:rPr>
          <w:rFonts w:cs="Arial"/>
          <w:sz w:val="22"/>
          <w:szCs w:val="22"/>
        </w:rPr>
        <w:t xml:space="preserve"> jest miejscem, które</w:t>
      </w:r>
      <w:r w:rsidR="00FF20B4">
        <w:rPr>
          <w:rFonts w:cs="Arial"/>
          <w:sz w:val="22"/>
          <w:szCs w:val="22"/>
        </w:rPr>
        <w:t>,</w:t>
      </w:r>
      <w:r w:rsidRPr="00317DE2">
        <w:rPr>
          <w:rFonts w:cs="Arial"/>
          <w:sz w:val="22"/>
          <w:szCs w:val="22"/>
        </w:rPr>
        <w:t xml:space="preserve"> dzięki swojej elastycznej formule i łączeniu redukcji szkód z terapią i pomocą socjalną</w:t>
      </w:r>
      <w:r w:rsidR="00FF20B4">
        <w:rPr>
          <w:rFonts w:cs="Arial"/>
          <w:sz w:val="22"/>
          <w:szCs w:val="22"/>
        </w:rPr>
        <w:t>,</w:t>
      </w:r>
      <w:r w:rsidRPr="00317DE2">
        <w:rPr>
          <w:rFonts w:cs="Arial"/>
          <w:sz w:val="22"/>
          <w:szCs w:val="22"/>
        </w:rPr>
        <w:t xml:space="preserve"> potrafi do tych osób dotrzeć, a następnie towarzyszyć im w procesie zmiany – od poprawy bezpieczeństwa zdrowotnego, przez stabilizację życiową, aż po gotowość do podjęcia terapii uzależnień.</w:t>
      </w:r>
    </w:p>
    <w:bookmarkEnd w:id="90"/>
    <w:p w14:paraId="1AC4FCE3" w14:textId="14471131" w:rsidR="00955250" w:rsidRPr="00317DE2" w:rsidRDefault="00955250" w:rsidP="00955250">
      <w:pPr>
        <w:spacing w:after="0" w:line="360" w:lineRule="auto"/>
        <w:ind w:firstLine="425"/>
        <w:jc w:val="both"/>
        <w:rPr>
          <w:rFonts w:cs="Arial"/>
          <w:sz w:val="22"/>
          <w:szCs w:val="22"/>
        </w:rPr>
      </w:pPr>
      <w:proofErr w:type="spellStart"/>
      <w:r w:rsidRPr="00317DE2">
        <w:rPr>
          <w:rFonts w:cs="Arial"/>
          <w:sz w:val="22"/>
          <w:szCs w:val="22"/>
        </w:rPr>
        <w:t>CRSz</w:t>
      </w:r>
      <w:proofErr w:type="spellEnd"/>
      <w:r w:rsidRPr="00317DE2">
        <w:rPr>
          <w:rFonts w:cs="Arial"/>
          <w:sz w:val="22"/>
          <w:szCs w:val="22"/>
        </w:rPr>
        <w:t xml:space="preserve"> w Lublinie dociera do osób, które dotychczas były niewidzialne dla systemu pomocy społecznej i ochrony zdrowia. Działalności </w:t>
      </w:r>
      <w:proofErr w:type="spellStart"/>
      <w:r w:rsidRPr="00317DE2">
        <w:rPr>
          <w:rFonts w:cs="Arial"/>
          <w:sz w:val="22"/>
          <w:szCs w:val="22"/>
        </w:rPr>
        <w:t>CRSz</w:t>
      </w:r>
      <w:proofErr w:type="spellEnd"/>
      <w:r w:rsidRPr="00317DE2">
        <w:rPr>
          <w:rFonts w:cs="Arial"/>
          <w:sz w:val="22"/>
          <w:szCs w:val="22"/>
        </w:rPr>
        <w:t xml:space="preserve"> w Lublinie pozwala zapewnić ciągłość wsparcia dla osób najbardziej potrzebujących, a jednocześnie przyczynia się do ograniczenia marginalizacji, poprawy zdrowia publicznego oraz budowania bezpieczniejszego i bardziej spójnego społecznie regionu. W województwie lubelskim do 2025 roku brak było systemowego wsparcia w zakresie redukcji szkód dla użytkowników narkotyków i nowych substancji psychoaktywnych. Utworzone w styczniu 2025 roku Centrum Redukcji Szkód w Lublinie wypełnia tą lukę. </w:t>
      </w:r>
      <w:proofErr w:type="spellStart"/>
      <w:r w:rsidRPr="00317DE2">
        <w:rPr>
          <w:rFonts w:cs="Arial"/>
          <w:sz w:val="22"/>
          <w:szCs w:val="22"/>
        </w:rPr>
        <w:t>CRS</w:t>
      </w:r>
      <w:r w:rsidR="00FF20B4">
        <w:rPr>
          <w:rFonts w:cs="Arial"/>
          <w:sz w:val="22"/>
          <w:szCs w:val="22"/>
        </w:rPr>
        <w:t>z</w:t>
      </w:r>
      <w:proofErr w:type="spellEnd"/>
      <w:r w:rsidRPr="00317DE2">
        <w:rPr>
          <w:rFonts w:cs="Arial"/>
          <w:sz w:val="22"/>
          <w:szCs w:val="22"/>
        </w:rPr>
        <w:t xml:space="preserve"> zrealizuje program zmniejszania szkód zdrowotnych i społecznych wśród osób używających/uzależnionych od  narkotyków i nowych substancji psychoaktywnych. </w:t>
      </w:r>
    </w:p>
    <w:p w14:paraId="12265AB9" w14:textId="77777777" w:rsidR="00955250" w:rsidRPr="00317DE2" w:rsidRDefault="00955250" w:rsidP="00955250">
      <w:pPr>
        <w:spacing w:after="0" w:line="360" w:lineRule="auto"/>
        <w:ind w:firstLine="425"/>
        <w:jc w:val="both"/>
        <w:rPr>
          <w:rFonts w:cs="Arial"/>
          <w:sz w:val="22"/>
          <w:szCs w:val="22"/>
        </w:rPr>
      </w:pPr>
      <w:r w:rsidRPr="00317DE2">
        <w:rPr>
          <w:rFonts w:cs="Arial"/>
          <w:sz w:val="22"/>
          <w:szCs w:val="22"/>
        </w:rPr>
        <w:t xml:space="preserve">Centrum, jako miejsce które kompleksowo zajmie się tym problemem, świadczy szeroki zakres usług, takich jak: świetlica dziennego przebywania, interwencja kryzysowa, indywidualne rozmowy motywujące, zajęcia informacyjno-edukacyjne, testowanie w kierunku chorób przenoszonych drogą krwi, konsultacje prawne, wsparcie socjalne, w tym: dostęp do ciepłego posiłku, kąpieli, wymiany odzieży, pralni i miejsca do spania. Centrum prowadzi także działania środowiskowe, w tym: dystrybucja i wymiana sprzętu do iniekcji oraz środków higienicznych. </w:t>
      </w:r>
    </w:p>
    <w:p w14:paraId="64731EE8" w14:textId="77777777" w:rsidR="00955250" w:rsidRPr="00A43860" w:rsidRDefault="00955250" w:rsidP="00904284">
      <w:pPr>
        <w:spacing w:after="0" w:line="360" w:lineRule="auto"/>
        <w:ind w:firstLine="425"/>
        <w:jc w:val="both"/>
        <w:rPr>
          <w:rFonts w:cs="Arial"/>
          <w:sz w:val="22"/>
          <w:szCs w:val="22"/>
        </w:rPr>
      </w:pPr>
      <w:r w:rsidRPr="00A43860">
        <w:rPr>
          <w:rFonts w:cs="Arial"/>
          <w:sz w:val="22"/>
          <w:szCs w:val="22"/>
        </w:rPr>
        <w:t xml:space="preserve">Działania te prowadzone są zarówno w lokalu przystosowanym dla osób z  niepełnosprawnością, jak i w przestrzeni miejskiej, gdzie realizatorzy programu bezpośrednio docierają do odbiorców projektu, oferując im wsparcie i pomoc. W pierwszym półroczu działalności </w:t>
      </w:r>
      <w:proofErr w:type="spellStart"/>
      <w:r w:rsidRPr="00A43860">
        <w:rPr>
          <w:rFonts w:cs="Arial"/>
          <w:sz w:val="22"/>
          <w:szCs w:val="22"/>
        </w:rPr>
        <w:t>CRSz</w:t>
      </w:r>
      <w:proofErr w:type="spellEnd"/>
      <w:r w:rsidRPr="00A43860">
        <w:rPr>
          <w:rFonts w:cs="Arial"/>
          <w:sz w:val="22"/>
          <w:szCs w:val="22"/>
        </w:rPr>
        <w:t xml:space="preserve"> objęła wsparciem: </w:t>
      </w:r>
    </w:p>
    <w:p w14:paraId="2F7590DC" w14:textId="77777777"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180 osób uczestniczących w działaniach środowiskowych,</w:t>
      </w:r>
    </w:p>
    <w:p w14:paraId="4C4314F3" w14:textId="77777777"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91 osób korzystających ze świetlicy dziennego przebywania,</w:t>
      </w:r>
    </w:p>
    <w:p w14:paraId="44877DA0" w14:textId="77777777"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21 osób korzystających z indywidualnych rozmów motywujących,</w:t>
      </w:r>
    </w:p>
    <w:p w14:paraId="1CEB4AAE" w14:textId="77777777"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25 osób objętych interwencją kryzysową,</w:t>
      </w:r>
    </w:p>
    <w:p w14:paraId="099CA9BD" w14:textId="1B55DB8B"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65 osób poddanych testom w kierunku HIV, HCV, HBV, WR i chorób przenoszonych drog</w:t>
      </w:r>
      <w:r w:rsidR="00FF20B4">
        <w:rPr>
          <w:rFonts w:cs="Arial"/>
          <w:sz w:val="22"/>
          <w:szCs w:val="22"/>
        </w:rPr>
        <w:t>ą</w:t>
      </w:r>
      <w:r w:rsidRPr="005952CC">
        <w:rPr>
          <w:rFonts w:cs="Arial"/>
          <w:sz w:val="22"/>
          <w:szCs w:val="22"/>
        </w:rPr>
        <w:t xml:space="preserve"> krwi,</w:t>
      </w:r>
    </w:p>
    <w:p w14:paraId="5A2877CC" w14:textId="77777777"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30 osób uczestniczących w zajęciach informacyjno-edukacyjnych,</w:t>
      </w:r>
    </w:p>
    <w:p w14:paraId="5D88B987" w14:textId="77777777" w:rsidR="00955250" w:rsidRPr="005952CC" w:rsidRDefault="00955250" w:rsidP="00955250">
      <w:pPr>
        <w:pStyle w:val="Akapitzlist"/>
        <w:numPr>
          <w:ilvl w:val="0"/>
          <w:numId w:val="51"/>
        </w:numPr>
        <w:spacing w:after="0" w:line="360" w:lineRule="auto"/>
        <w:jc w:val="both"/>
        <w:rPr>
          <w:rFonts w:cs="Arial"/>
          <w:sz w:val="22"/>
          <w:szCs w:val="22"/>
        </w:rPr>
      </w:pPr>
      <w:r w:rsidRPr="005952CC">
        <w:rPr>
          <w:rFonts w:cs="Arial"/>
          <w:sz w:val="22"/>
          <w:szCs w:val="22"/>
        </w:rPr>
        <w:t>52 osoby korzystające z konsultacji prawnych.</w:t>
      </w:r>
    </w:p>
    <w:p w14:paraId="614269E0" w14:textId="77777777" w:rsidR="00955250" w:rsidRPr="00317DE2" w:rsidRDefault="00955250" w:rsidP="00955250">
      <w:pPr>
        <w:spacing w:after="0" w:line="360" w:lineRule="auto"/>
        <w:ind w:firstLine="425"/>
        <w:jc w:val="both"/>
        <w:rPr>
          <w:rFonts w:cs="Arial"/>
          <w:sz w:val="22"/>
          <w:szCs w:val="22"/>
        </w:rPr>
      </w:pPr>
      <w:r w:rsidRPr="00317DE2">
        <w:rPr>
          <w:rFonts w:cs="Arial"/>
          <w:sz w:val="22"/>
          <w:szCs w:val="22"/>
        </w:rPr>
        <w:lastRenderedPageBreak/>
        <w:t xml:space="preserve">Funkcjonowanie Centrum Redukcji Szkód przyczynia się do zwiększenia dostępności wsparcia dla osób zagrożonych wykluczeniem społecznym, zmniejszenia ryzyka rozprzestrzeniania się chorób zakaźnych, pozytywnie wpływa na stan zdrowia uczestników oraz zwiększa ich świadomość dotyczącą bezpieczniejszych metod używania narkotyków. W pierwszym półroczu działalności cele te zrealizowano poprzez: </w:t>
      </w:r>
    </w:p>
    <w:p w14:paraId="4BE49D8D"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859 wydanych igieł,</w:t>
      </w:r>
    </w:p>
    <w:p w14:paraId="1C7D08A3"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801 wydanych strzykawek,</w:t>
      </w:r>
    </w:p>
    <w:p w14:paraId="03C10399"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909 odzyskanych igieł,</w:t>
      </w:r>
    </w:p>
    <w:p w14:paraId="1EB3C8C5"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825 odzyskanych strzykawek,</w:t>
      </w:r>
    </w:p>
    <w:p w14:paraId="7229EC47"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389 wydanych środków odkażających,</w:t>
      </w:r>
    </w:p>
    <w:p w14:paraId="4D5A6145"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256 wydanych środków opatrunkowych,</w:t>
      </w:r>
    </w:p>
    <w:p w14:paraId="1F52691D"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308 wydanych prezerwatyw,</w:t>
      </w:r>
    </w:p>
    <w:p w14:paraId="3797373B" w14:textId="77777777" w:rsidR="00955250" w:rsidRPr="005952CC" w:rsidRDefault="00955250" w:rsidP="00955250">
      <w:pPr>
        <w:pStyle w:val="Akapitzlist"/>
        <w:numPr>
          <w:ilvl w:val="0"/>
          <w:numId w:val="52"/>
        </w:numPr>
        <w:spacing w:after="0" w:line="360" w:lineRule="auto"/>
        <w:jc w:val="both"/>
        <w:rPr>
          <w:rFonts w:cs="Arial"/>
          <w:sz w:val="22"/>
          <w:szCs w:val="22"/>
        </w:rPr>
      </w:pPr>
      <w:r w:rsidRPr="005952CC">
        <w:rPr>
          <w:rFonts w:cs="Arial"/>
          <w:sz w:val="22"/>
          <w:szCs w:val="22"/>
        </w:rPr>
        <w:t>190 wydanych posiłków.</w:t>
      </w:r>
    </w:p>
    <w:p w14:paraId="3F2EA707" w14:textId="77777777" w:rsidR="00955250" w:rsidRPr="00317DE2" w:rsidRDefault="00955250" w:rsidP="00955250">
      <w:pPr>
        <w:spacing w:after="0" w:line="360" w:lineRule="auto"/>
        <w:ind w:firstLine="425"/>
        <w:jc w:val="both"/>
        <w:rPr>
          <w:rFonts w:cs="Arial"/>
          <w:sz w:val="22"/>
          <w:szCs w:val="22"/>
        </w:rPr>
      </w:pPr>
      <w:r w:rsidRPr="00317DE2">
        <w:rPr>
          <w:rFonts w:cs="Arial"/>
          <w:sz w:val="22"/>
          <w:szCs w:val="22"/>
        </w:rPr>
        <w:t xml:space="preserve"> Długofalowym celem działania Centrum jest zmniejszenie kosztów leczenia ponoszonych przez system opieki zdrowotnej, w tym ograniczenie liczby przypadków </w:t>
      </w:r>
      <w:proofErr w:type="spellStart"/>
      <w:r w:rsidRPr="00317DE2">
        <w:rPr>
          <w:rFonts w:cs="Arial"/>
          <w:sz w:val="22"/>
          <w:szCs w:val="22"/>
        </w:rPr>
        <w:t>przedawkowań</w:t>
      </w:r>
      <w:proofErr w:type="spellEnd"/>
      <w:r w:rsidRPr="00317DE2">
        <w:rPr>
          <w:rFonts w:cs="Arial"/>
          <w:sz w:val="22"/>
          <w:szCs w:val="22"/>
        </w:rPr>
        <w:t xml:space="preserve"> oraz powikłań zdrowotnych wynikających z używania narkotyków i innych substancji psychoaktywnych. W ten sposób utworzenie Centrum Redukcji Szkód wpisuje się w strategię</w:t>
      </w:r>
      <w:r>
        <w:rPr>
          <w:rFonts w:cs="Arial"/>
          <w:sz w:val="22"/>
          <w:szCs w:val="22"/>
        </w:rPr>
        <w:t xml:space="preserve"> SWL w zakresie</w:t>
      </w:r>
      <w:r w:rsidRPr="00317DE2">
        <w:rPr>
          <w:rFonts w:cs="Arial"/>
          <w:sz w:val="22"/>
          <w:szCs w:val="22"/>
        </w:rPr>
        <w:t xml:space="preserve"> zrównoważonego rozwoju i odpowiedzialności społecznej, odpowiadając na potrzeby zarówno osób uzależnionych, jak i mieszkańców województwa lubelskiego.</w:t>
      </w:r>
    </w:p>
    <w:p w14:paraId="7BCA9427" w14:textId="77777777" w:rsidR="00955250" w:rsidRDefault="00955250" w:rsidP="00955250">
      <w:pPr>
        <w:spacing w:after="0" w:line="360" w:lineRule="auto"/>
        <w:ind w:firstLine="425"/>
        <w:jc w:val="both"/>
        <w:rPr>
          <w:rFonts w:cs="Arial"/>
          <w:sz w:val="22"/>
          <w:szCs w:val="22"/>
        </w:rPr>
      </w:pPr>
      <w:r w:rsidRPr="00317DE2">
        <w:rPr>
          <w:rFonts w:cs="Arial"/>
          <w:sz w:val="22"/>
          <w:szCs w:val="22"/>
        </w:rPr>
        <w:t xml:space="preserve">W latach następnych planowane jest utrwalenie i rozwój działań </w:t>
      </w:r>
      <w:proofErr w:type="spellStart"/>
      <w:r w:rsidRPr="00317DE2">
        <w:rPr>
          <w:rFonts w:cs="Arial"/>
          <w:sz w:val="22"/>
          <w:szCs w:val="22"/>
        </w:rPr>
        <w:t>CRSz</w:t>
      </w:r>
      <w:proofErr w:type="spellEnd"/>
      <w:r w:rsidRPr="00317DE2">
        <w:rPr>
          <w:rFonts w:cs="Arial"/>
          <w:sz w:val="22"/>
          <w:szCs w:val="22"/>
        </w:rPr>
        <w:t>, które obejmują m.in. prowadzenie punktu testowania w kierunku HIV i HCV, dystrybucję materiałów profilaktycznych, interwencje kryzysowe, indywidualne rozmowy motywujące, zajęcia informacyjno-edukacyjne. Szczególną wartością tej inicjatywy jest możliwość zaoferowania osobom uzależnionym nie tylko ochrony zdrowia i podstawowego wsparcia socjalnego, ale także realnej ścieżki przejścia ku terapii i integracji społecznej.</w:t>
      </w:r>
    </w:p>
    <w:p w14:paraId="6AA161BD" w14:textId="5C53C758" w:rsidR="001676E4" w:rsidRPr="00317DE2" w:rsidRDefault="001676E4" w:rsidP="00B11CBB">
      <w:pPr>
        <w:pStyle w:val="Nagwek2"/>
      </w:pPr>
      <w:bookmarkStart w:id="91" w:name="_Toc214277566"/>
      <w:r w:rsidRPr="00317DE2">
        <w:t xml:space="preserve">Współpraca </w:t>
      </w:r>
      <w:bookmarkStart w:id="92" w:name="_Hlk109739882"/>
      <w:r w:rsidRPr="00317DE2">
        <w:t xml:space="preserve">Samorządu Województwa Lubelskiego </w:t>
      </w:r>
      <w:bookmarkEnd w:id="92"/>
      <w:r w:rsidRPr="00317DE2">
        <w:t>z organizacjami pozarządowymi w</w:t>
      </w:r>
      <w:r>
        <w:t> </w:t>
      </w:r>
      <w:r w:rsidRPr="00317DE2">
        <w:t>zakresie przeciwdziałania narkomanii</w:t>
      </w:r>
      <w:bookmarkEnd w:id="91"/>
    </w:p>
    <w:p w14:paraId="4C2F82F9" w14:textId="3C44C853" w:rsidR="001676E4" w:rsidRPr="00D85D06" w:rsidRDefault="001676E4" w:rsidP="001676E4">
      <w:pPr>
        <w:spacing w:after="120" w:line="360" w:lineRule="auto"/>
        <w:ind w:firstLine="567"/>
        <w:jc w:val="both"/>
        <w:rPr>
          <w:rFonts w:cs="Arial"/>
          <w:sz w:val="22"/>
          <w:szCs w:val="22"/>
        </w:rPr>
      </w:pPr>
      <w:r w:rsidRPr="00887251">
        <w:rPr>
          <w:rFonts w:cs="Arial"/>
          <w:sz w:val="22"/>
          <w:szCs w:val="22"/>
        </w:rPr>
        <w:t>W województwie lubelskim funkcjonuje szereg organizacji prowadzących działalność pożytku publicznego w obszarze przeciwdziałania narkomanii. W latach 2022-202</w:t>
      </w:r>
      <w:r w:rsidR="00B11CBB">
        <w:rPr>
          <w:rFonts w:cs="Arial"/>
          <w:sz w:val="22"/>
          <w:szCs w:val="22"/>
        </w:rPr>
        <w:t>4</w:t>
      </w:r>
      <w:r w:rsidRPr="00887251">
        <w:rPr>
          <w:rFonts w:cs="Arial"/>
          <w:sz w:val="22"/>
          <w:szCs w:val="22"/>
        </w:rPr>
        <w:t xml:space="preserve"> Samorząd Województwa Lubelskiego przyznał dotacje ww. podmiotom na realizację tego zadania w łącznej kwocie </w:t>
      </w:r>
      <w:r w:rsidR="00B11CBB">
        <w:rPr>
          <w:rFonts w:cs="Arial"/>
          <w:sz w:val="22"/>
          <w:szCs w:val="22"/>
        </w:rPr>
        <w:t>558 400,0</w:t>
      </w:r>
      <w:r w:rsidRPr="00887251">
        <w:rPr>
          <w:rFonts w:cs="Arial"/>
          <w:sz w:val="22"/>
          <w:szCs w:val="22"/>
        </w:rPr>
        <w:t>0 zł. Organizacje pozarządowe wykorzystały przyznane dotacje w pełnej kwocie. Działania w zakresie przeciwdziałania narkomanii prowadziło 6 organizacji w 2022 r</w:t>
      </w:r>
      <w:r w:rsidR="008E7FC7">
        <w:rPr>
          <w:rFonts w:cs="Arial"/>
          <w:sz w:val="22"/>
          <w:szCs w:val="22"/>
        </w:rPr>
        <w:t>oku</w:t>
      </w:r>
      <w:r w:rsidR="00D85D06">
        <w:rPr>
          <w:rFonts w:cs="Arial"/>
          <w:sz w:val="22"/>
          <w:szCs w:val="22"/>
        </w:rPr>
        <w:t>,</w:t>
      </w:r>
      <w:r w:rsidRPr="00887251">
        <w:rPr>
          <w:rFonts w:cs="Arial"/>
          <w:sz w:val="22"/>
          <w:szCs w:val="22"/>
        </w:rPr>
        <w:t xml:space="preserve"> </w:t>
      </w:r>
      <w:r w:rsidRPr="005952CC">
        <w:rPr>
          <w:rFonts w:cs="Arial"/>
          <w:sz w:val="22"/>
          <w:szCs w:val="22"/>
        </w:rPr>
        <w:t xml:space="preserve">6 organizacji w </w:t>
      </w:r>
      <w:r w:rsidRPr="00B11CBB">
        <w:rPr>
          <w:rFonts w:cs="Arial"/>
          <w:sz w:val="22"/>
          <w:szCs w:val="22"/>
        </w:rPr>
        <w:t>2023 r</w:t>
      </w:r>
      <w:r w:rsidR="008E7FC7">
        <w:rPr>
          <w:rFonts w:cs="Arial"/>
          <w:sz w:val="22"/>
          <w:szCs w:val="22"/>
        </w:rPr>
        <w:t>oku</w:t>
      </w:r>
      <w:r w:rsidR="00D85D06" w:rsidRPr="00B11CBB">
        <w:rPr>
          <w:rFonts w:cs="Arial"/>
          <w:sz w:val="22"/>
          <w:szCs w:val="22"/>
        </w:rPr>
        <w:t xml:space="preserve"> oraz </w:t>
      </w:r>
      <w:r w:rsidR="00B11CBB" w:rsidRPr="00B11CBB">
        <w:rPr>
          <w:rFonts w:cs="Arial"/>
          <w:sz w:val="22"/>
          <w:szCs w:val="22"/>
        </w:rPr>
        <w:t>7 organizacji w</w:t>
      </w:r>
      <w:r w:rsidR="00D85D06" w:rsidRPr="00B11CBB">
        <w:rPr>
          <w:rFonts w:cs="Arial"/>
          <w:sz w:val="22"/>
          <w:szCs w:val="22"/>
        </w:rPr>
        <w:t xml:space="preserve"> 2024 r</w:t>
      </w:r>
      <w:r w:rsidR="008E7FC7">
        <w:rPr>
          <w:rFonts w:cs="Arial"/>
          <w:sz w:val="22"/>
          <w:szCs w:val="22"/>
        </w:rPr>
        <w:t>oku</w:t>
      </w:r>
      <w:r w:rsidR="00D85D06" w:rsidRPr="00B11CBB">
        <w:rPr>
          <w:rFonts w:cs="Arial"/>
          <w:sz w:val="22"/>
          <w:szCs w:val="22"/>
        </w:rPr>
        <w:t>.</w:t>
      </w:r>
      <w:r w:rsidR="00D85D06">
        <w:rPr>
          <w:rFonts w:cs="Arial"/>
          <w:sz w:val="22"/>
          <w:szCs w:val="22"/>
        </w:rPr>
        <w:t xml:space="preserve"> </w:t>
      </w:r>
      <w:r w:rsidRPr="005952CC">
        <w:rPr>
          <w:rFonts w:cs="Arial"/>
          <w:sz w:val="22"/>
          <w:szCs w:val="22"/>
        </w:rPr>
        <w:t xml:space="preserve"> </w:t>
      </w:r>
      <w:r w:rsidRPr="00D85D06">
        <w:rPr>
          <w:rFonts w:cs="Arial"/>
          <w:sz w:val="22"/>
          <w:szCs w:val="22"/>
        </w:rPr>
        <w:t xml:space="preserve">W ramach współpracy </w:t>
      </w:r>
      <w:r w:rsidRPr="00D85D06">
        <w:rPr>
          <w:rFonts w:cs="Arial"/>
          <w:sz w:val="22"/>
          <w:szCs w:val="22"/>
        </w:rPr>
        <w:lastRenderedPageBreak/>
        <w:t>ROPS w Lublinie z NGO w zakresie przeciwdziałania narkomanii w latach 2022-202</w:t>
      </w:r>
      <w:r w:rsidR="00D85D06">
        <w:rPr>
          <w:rFonts w:cs="Arial"/>
          <w:sz w:val="22"/>
          <w:szCs w:val="22"/>
        </w:rPr>
        <w:t>4</w:t>
      </w:r>
      <w:r w:rsidRPr="00D85D06">
        <w:rPr>
          <w:rFonts w:cs="Arial"/>
          <w:sz w:val="22"/>
          <w:szCs w:val="22"/>
        </w:rPr>
        <w:t xml:space="preserve"> zrealizowano:</w:t>
      </w:r>
    </w:p>
    <w:p w14:paraId="55C07933" w14:textId="77777777" w:rsidR="001676E4" w:rsidRPr="00D85D06" w:rsidRDefault="001676E4" w:rsidP="001676E4">
      <w:pPr>
        <w:numPr>
          <w:ilvl w:val="0"/>
          <w:numId w:val="36"/>
        </w:numPr>
        <w:tabs>
          <w:tab w:val="left" w:pos="284"/>
        </w:tabs>
        <w:spacing w:after="0" w:line="360" w:lineRule="auto"/>
        <w:ind w:left="284" w:hanging="284"/>
        <w:contextualSpacing/>
        <w:jc w:val="both"/>
        <w:rPr>
          <w:rFonts w:cs="Arial"/>
          <w:sz w:val="22"/>
          <w:szCs w:val="22"/>
        </w:rPr>
      </w:pPr>
      <w:bookmarkStart w:id="93" w:name="_Hlk107926988"/>
      <w:r w:rsidRPr="00D85D06">
        <w:rPr>
          <w:rFonts w:cs="Arial"/>
          <w:sz w:val="22"/>
          <w:szCs w:val="22"/>
        </w:rPr>
        <w:t xml:space="preserve">Programy profilaktyki uniwersalnej, selektywnej i wskazującej o naukowych podstawach i potwierdzonej skuteczności, w tym programy rekomendowane oraz działania dotyczące promocji zdrowego stylu życia, programy wczesnej interwencji i programy rozwijające kompetencje wychowawcze oraz profilaktyczne rodziców. </w:t>
      </w:r>
    </w:p>
    <w:p w14:paraId="3360D00B" w14:textId="7F710EE2" w:rsidR="001676E4" w:rsidRPr="00B11CBB" w:rsidRDefault="00D85D06" w:rsidP="001676E4">
      <w:pPr>
        <w:tabs>
          <w:tab w:val="left" w:pos="284"/>
        </w:tabs>
        <w:spacing w:after="0" w:line="360" w:lineRule="auto"/>
        <w:ind w:left="284"/>
        <w:contextualSpacing/>
        <w:jc w:val="both"/>
        <w:rPr>
          <w:rFonts w:cs="Arial"/>
          <w:sz w:val="22"/>
          <w:szCs w:val="22"/>
        </w:rPr>
      </w:pPr>
      <w:r w:rsidRPr="00B11CBB">
        <w:rPr>
          <w:rFonts w:cs="Arial"/>
          <w:sz w:val="22"/>
          <w:szCs w:val="22"/>
        </w:rPr>
        <w:t>D</w:t>
      </w:r>
      <w:r w:rsidR="001676E4" w:rsidRPr="00B11CBB">
        <w:rPr>
          <w:rFonts w:cs="Arial"/>
          <w:sz w:val="22"/>
          <w:szCs w:val="22"/>
        </w:rPr>
        <w:t xml:space="preserve">ziałania tymi objęto łącznie </w:t>
      </w:r>
      <w:r w:rsidR="00B11CBB" w:rsidRPr="00B11CBB">
        <w:rPr>
          <w:rFonts w:cs="Arial"/>
          <w:sz w:val="22"/>
          <w:szCs w:val="22"/>
        </w:rPr>
        <w:t>4 447</w:t>
      </w:r>
      <w:r w:rsidR="001676E4" w:rsidRPr="00B11CBB">
        <w:rPr>
          <w:rFonts w:cs="Arial"/>
          <w:sz w:val="22"/>
          <w:szCs w:val="22"/>
        </w:rPr>
        <w:t xml:space="preserve"> os</w:t>
      </w:r>
      <w:r w:rsidR="00B11CBB" w:rsidRPr="00B11CBB">
        <w:rPr>
          <w:rFonts w:cs="Arial"/>
          <w:sz w:val="22"/>
          <w:szCs w:val="22"/>
        </w:rPr>
        <w:t>ó</w:t>
      </w:r>
      <w:r w:rsidR="001676E4" w:rsidRPr="00B11CBB">
        <w:rPr>
          <w:rFonts w:cs="Arial"/>
          <w:sz w:val="22"/>
          <w:szCs w:val="22"/>
        </w:rPr>
        <w:t>b.</w:t>
      </w:r>
    </w:p>
    <w:p w14:paraId="2419F9A9" w14:textId="20CE3C3D" w:rsidR="001676E4" w:rsidRPr="00904284" w:rsidRDefault="001676E4" w:rsidP="001676E4">
      <w:pPr>
        <w:numPr>
          <w:ilvl w:val="0"/>
          <w:numId w:val="36"/>
        </w:numPr>
        <w:tabs>
          <w:tab w:val="left" w:pos="284"/>
        </w:tabs>
        <w:spacing w:after="0" w:line="360" w:lineRule="auto"/>
        <w:ind w:left="284" w:hanging="284"/>
        <w:contextualSpacing/>
        <w:jc w:val="both"/>
        <w:rPr>
          <w:rFonts w:cs="Arial"/>
          <w:strike/>
          <w:sz w:val="22"/>
          <w:szCs w:val="22"/>
        </w:rPr>
      </w:pPr>
      <w:r w:rsidRPr="00B11CBB">
        <w:rPr>
          <w:rFonts w:cs="Arial"/>
          <w:sz w:val="22"/>
          <w:szCs w:val="22"/>
        </w:rPr>
        <w:t>Programy w zakresie pomocy terapeutycznej, psychoterapeutycznej i rehabilitacyjnej dla osób uzależnionych od substancji psychoaktywnych innych niż alkohol, członków ich rodzin, osób współuzależnionych, w tym doznających przemocy. Programami objęto łącznie 2</w:t>
      </w:r>
      <w:r w:rsidR="00B11CBB" w:rsidRPr="00B11CBB">
        <w:rPr>
          <w:rFonts w:cs="Arial"/>
          <w:sz w:val="22"/>
          <w:szCs w:val="22"/>
        </w:rPr>
        <w:t>5</w:t>
      </w:r>
      <w:r w:rsidRPr="00B11CBB">
        <w:rPr>
          <w:rFonts w:cs="Arial"/>
          <w:sz w:val="22"/>
          <w:szCs w:val="22"/>
        </w:rPr>
        <w:t>7 osób.</w:t>
      </w:r>
    </w:p>
    <w:p w14:paraId="138B7CB3" w14:textId="19983D94" w:rsidR="001676E4" w:rsidRPr="00904284" w:rsidRDefault="001676E4" w:rsidP="001676E4">
      <w:pPr>
        <w:numPr>
          <w:ilvl w:val="0"/>
          <w:numId w:val="36"/>
        </w:numPr>
        <w:tabs>
          <w:tab w:val="left" w:pos="284"/>
        </w:tabs>
        <w:spacing w:after="0" w:line="360" w:lineRule="auto"/>
        <w:ind w:left="284" w:hanging="284"/>
        <w:contextualSpacing/>
        <w:jc w:val="both"/>
        <w:rPr>
          <w:rFonts w:cs="Arial"/>
          <w:strike/>
          <w:sz w:val="22"/>
          <w:szCs w:val="22"/>
        </w:rPr>
      </w:pPr>
      <w:r w:rsidRPr="00B11CBB">
        <w:rPr>
          <w:rFonts w:cs="Arial"/>
          <w:sz w:val="22"/>
          <w:szCs w:val="22"/>
        </w:rPr>
        <w:t>Programy dotyczące specjalistycznego wsparcia udzielanego osobom wykluczonym lub zagrożonym wykluczeniem z powodu używania substancji psychoaktywnych innych niż alkohol, w tym reintegracja oraz aktywizacja społeczno-zawodowa oraz programy redukcji szkód. Programami objęto łącznie 2</w:t>
      </w:r>
      <w:r w:rsidR="00B11CBB" w:rsidRPr="00B11CBB">
        <w:rPr>
          <w:rFonts w:cs="Arial"/>
          <w:sz w:val="22"/>
          <w:szCs w:val="22"/>
        </w:rPr>
        <w:t>9</w:t>
      </w:r>
      <w:r w:rsidRPr="00B11CBB">
        <w:rPr>
          <w:rFonts w:cs="Arial"/>
          <w:sz w:val="22"/>
          <w:szCs w:val="22"/>
        </w:rPr>
        <w:t>4 osoby.</w:t>
      </w:r>
    </w:p>
    <w:p w14:paraId="693B8A42" w14:textId="7F8E17D3" w:rsidR="001676E4" w:rsidRPr="00904284" w:rsidRDefault="001676E4" w:rsidP="001676E4">
      <w:pPr>
        <w:numPr>
          <w:ilvl w:val="0"/>
          <w:numId w:val="36"/>
        </w:numPr>
        <w:tabs>
          <w:tab w:val="left" w:pos="284"/>
        </w:tabs>
        <w:spacing w:after="0" w:line="360" w:lineRule="auto"/>
        <w:ind w:left="284" w:hanging="284"/>
        <w:contextualSpacing/>
        <w:jc w:val="both"/>
        <w:rPr>
          <w:rFonts w:cs="Arial"/>
          <w:strike/>
          <w:sz w:val="22"/>
          <w:szCs w:val="22"/>
        </w:rPr>
      </w:pPr>
      <w:r w:rsidRPr="00B11CBB">
        <w:rPr>
          <w:rFonts w:cs="Arial"/>
          <w:sz w:val="22"/>
          <w:szCs w:val="22"/>
        </w:rPr>
        <w:t xml:space="preserve">Działania edukacyjno-informacyjne na temat zagrożeń wynikających z używania substancji psychoaktywnych innych niż </w:t>
      </w:r>
      <w:r w:rsidR="00D85D06" w:rsidRPr="00B11CBB">
        <w:rPr>
          <w:rFonts w:cs="Arial"/>
          <w:sz w:val="22"/>
          <w:szCs w:val="22"/>
        </w:rPr>
        <w:t xml:space="preserve">alkohol. </w:t>
      </w:r>
      <w:r w:rsidRPr="00B11CBB">
        <w:rPr>
          <w:rFonts w:cs="Arial"/>
          <w:sz w:val="22"/>
          <w:szCs w:val="22"/>
        </w:rPr>
        <w:t>Działaniami objęto łącznie 1 </w:t>
      </w:r>
      <w:r w:rsidR="00B11CBB" w:rsidRPr="00B11CBB">
        <w:rPr>
          <w:rFonts w:cs="Arial"/>
          <w:sz w:val="22"/>
          <w:szCs w:val="22"/>
        </w:rPr>
        <w:t>437</w:t>
      </w:r>
      <w:r w:rsidRPr="00B11CBB">
        <w:rPr>
          <w:rFonts w:cs="Arial"/>
          <w:sz w:val="22"/>
          <w:szCs w:val="22"/>
        </w:rPr>
        <w:t xml:space="preserve"> osób.</w:t>
      </w:r>
    </w:p>
    <w:p w14:paraId="2C33FEC3" w14:textId="171E1D61" w:rsidR="001676E4" w:rsidRPr="00B11CBB" w:rsidRDefault="001676E4" w:rsidP="001676E4">
      <w:pPr>
        <w:numPr>
          <w:ilvl w:val="0"/>
          <w:numId w:val="36"/>
        </w:numPr>
        <w:tabs>
          <w:tab w:val="left" w:pos="284"/>
        </w:tabs>
        <w:spacing w:after="120" w:line="360" w:lineRule="auto"/>
        <w:ind w:left="284" w:hanging="284"/>
        <w:jc w:val="both"/>
        <w:rPr>
          <w:rFonts w:cs="Arial"/>
          <w:sz w:val="22"/>
          <w:szCs w:val="22"/>
        </w:rPr>
      </w:pPr>
      <w:r w:rsidRPr="00B11CBB">
        <w:rPr>
          <w:rFonts w:cs="Arial"/>
          <w:sz w:val="22"/>
          <w:szCs w:val="22"/>
        </w:rPr>
        <w:t>Działania służące podnoszeniu kompetencji kadr uczestniczących w realizacji zadań z zakresu profilaktyki uzależnień</w:t>
      </w:r>
      <w:r w:rsidR="0022273E" w:rsidRPr="00B11CBB">
        <w:rPr>
          <w:rFonts w:cs="Arial"/>
          <w:sz w:val="22"/>
          <w:szCs w:val="22"/>
        </w:rPr>
        <w:t>. W działaniach</w:t>
      </w:r>
      <w:r w:rsidRPr="00B11CBB">
        <w:rPr>
          <w:rFonts w:cs="Arial"/>
          <w:sz w:val="22"/>
          <w:szCs w:val="22"/>
        </w:rPr>
        <w:t xml:space="preserve"> uczestniczyło </w:t>
      </w:r>
      <w:r w:rsidR="00B11CBB" w:rsidRPr="00B11CBB">
        <w:rPr>
          <w:rFonts w:cs="Arial"/>
          <w:sz w:val="22"/>
          <w:szCs w:val="22"/>
        </w:rPr>
        <w:t>20</w:t>
      </w:r>
      <w:r w:rsidRPr="00B11CBB">
        <w:rPr>
          <w:rFonts w:cs="Arial"/>
          <w:sz w:val="22"/>
          <w:szCs w:val="22"/>
        </w:rPr>
        <w:t>8 osób.</w:t>
      </w:r>
    </w:p>
    <w:bookmarkEnd w:id="93"/>
    <w:p w14:paraId="61C1512F" w14:textId="6B229992" w:rsidR="001676E4" w:rsidRPr="00887251" w:rsidRDefault="001676E4" w:rsidP="001676E4">
      <w:pPr>
        <w:spacing w:line="360" w:lineRule="auto"/>
        <w:ind w:firstLine="425"/>
        <w:jc w:val="both"/>
        <w:rPr>
          <w:rFonts w:cs="Arial"/>
          <w:sz w:val="22"/>
          <w:szCs w:val="22"/>
        </w:rPr>
      </w:pPr>
      <w:r w:rsidRPr="00B11CBB">
        <w:rPr>
          <w:rFonts w:cs="Arial"/>
          <w:sz w:val="22"/>
          <w:szCs w:val="22"/>
        </w:rPr>
        <w:t>Konkretna współpraca była rezultatem zawartych umów i przekazanych środków finansowych na realizację zadań w latach 2022</w:t>
      </w:r>
      <w:r w:rsidR="0022273E" w:rsidRPr="00B11CBB">
        <w:rPr>
          <w:rFonts w:cs="Arial"/>
          <w:sz w:val="22"/>
          <w:szCs w:val="22"/>
        </w:rPr>
        <w:t xml:space="preserve"> -</w:t>
      </w:r>
      <w:r w:rsidR="00882EA2" w:rsidRPr="00B11CBB">
        <w:rPr>
          <w:rFonts w:cs="Arial"/>
          <w:sz w:val="22"/>
          <w:szCs w:val="22"/>
        </w:rPr>
        <w:t xml:space="preserve"> </w:t>
      </w:r>
      <w:r w:rsidR="0022273E" w:rsidRPr="00B11CBB">
        <w:rPr>
          <w:rFonts w:cs="Arial"/>
          <w:sz w:val="22"/>
          <w:szCs w:val="22"/>
        </w:rPr>
        <w:t>2</w:t>
      </w:r>
      <w:r w:rsidR="00882EA2" w:rsidRPr="00B11CBB">
        <w:rPr>
          <w:rFonts w:cs="Arial"/>
          <w:sz w:val="22"/>
          <w:szCs w:val="22"/>
        </w:rPr>
        <w:t>024</w:t>
      </w:r>
      <w:r w:rsidRPr="00B11CBB">
        <w:rPr>
          <w:rFonts w:cs="Arial"/>
          <w:sz w:val="22"/>
          <w:szCs w:val="22"/>
        </w:rPr>
        <w:t>. Wyniki tej współpracy zostały</w:t>
      </w:r>
      <w:r w:rsidRPr="00887251">
        <w:rPr>
          <w:rFonts w:cs="Arial"/>
          <w:sz w:val="22"/>
          <w:szCs w:val="22"/>
        </w:rPr>
        <w:t xml:space="preserve"> przedstawione w poniższej tabeli.</w:t>
      </w:r>
    </w:p>
    <w:p w14:paraId="516C466D" w14:textId="5C6EE0A3" w:rsidR="001676E4" w:rsidRPr="0054713D" w:rsidRDefault="001676E4" w:rsidP="001676E4">
      <w:pPr>
        <w:pStyle w:val="Legenda"/>
        <w:keepNext/>
        <w:rPr>
          <w:sz w:val="20"/>
          <w:szCs w:val="16"/>
        </w:rPr>
      </w:pPr>
      <w:bookmarkStart w:id="94" w:name="_Toc214279705"/>
      <w:r w:rsidRPr="0054713D">
        <w:rPr>
          <w:sz w:val="20"/>
          <w:szCs w:val="16"/>
        </w:rPr>
        <w:t xml:space="preserve">Tabela </w:t>
      </w:r>
      <w:r w:rsidRPr="0054713D">
        <w:rPr>
          <w:sz w:val="20"/>
          <w:szCs w:val="16"/>
        </w:rPr>
        <w:fldChar w:fldCharType="begin"/>
      </w:r>
      <w:r w:rsidRPr="0054713D">
        <w:rPr>
          <w:sz w:val="20"/>
          <w:szCs w:val="16"/>
        </w:rPr>
        <w:instrText xml:space="preserve"> SEQ Tabela \* ARABIC </w:instrText>
      </w:r>
      <w:r w:rsidRPr="0054713D">
        <w:rPr>
          <w:sz w:val="20"/>
          <w:szCs w:val="16"/>
        </w:rPr>
        <w:fldChar w:fldCharType="separate"/>
      </w:r>
      <w:r w:rsidR="00CA082D" w:rsidRPr="0054713D">
        <w:rPr>
          <w:noProof/>
          <w:sz w:val="20"/>
          <w:szCs w:val="16"/>
        </w:rPr>
        <w:t>20</w:t>
      </w:r>
      <w:r w:rsidRPr="0054713D">
        <w:rPr>
          <w:sz w:val="20"/>
          <w:szCs w:val="16"/>
        </w:rPr>
        <w:fldChar w:fldCharType="end"/>
      </w:r>
      <w:r w:rsidRPr="0054713D">
        <w:rPr>
          <w:sz w:val="20"/>
          <w:szCs w:val="16"/>
        </w:rPr>
        <w:t>. Wyniki współpracy Samorządu Województwa Lubelskiego z organizacjami pozarządowymi w zakresie przeciwdziałania narkomanii w latach 2022-202</w:t>
      </w:r>
      <w:r w:rsidR="0022273E" w:rsidRPr="0054713D">
        <w:rPr>
          <w:sz w:val="20"/>
          <w:szCs w:val="16"/>
        </w:rPr>
        <w:t>4.</w:t>
      </w:r>
      <w:bookmarkEnd w:id="94"/>
    </w:p>
    <w:tbl>
      <w:tblPr>
        <w:tblStyle w:val="Tabela-Siatka"/>
        <w:tblW w:w="9214" w:type="dxa"/>
        <w:tblInd w:w="108" w:type="dxa"/>
        <w:tblLayout w:type="fixed"/>
        <w:tblLook w:val="04A0" w:firstRow="1" w:lastRow="0" w:firstColumn="1" w:lastColumn="0" w:noHBand="0" w:noVBand="1"/>
      </w:tblPr>
      <w:tblGrid>
        <w:gridCol w:w="1701"/>
        <w:gridCol w:w="1551"/>
        <w:gridCol w:w="2135"/>
        <w:gridCol w:w="2268"/>
        <w:gridCol w:w="1559"/>
      </w:tblGrid>
      <w:tr w:rsidR="001676E4" w:rsidRPr="00887251" w14:paraId="6DAA9612" w14:textId="77777777" w:rsidTr="003D66E5">
        <w:trPr>
          <w:trHeight w:val="1470"/>
          <w:tblHeader/>
        </w:trPr>
        <w:tc>
          <w:tcPr>
            <w:tcW w:w="1701" w:type="dxa"/>
          </w:tcPr>
          <w:p w14:paraId="41D692B9" w14:textId="77777777" w:rsidR="001676E4" w:rsidRPr="00887251" w:rsidRDefault="001676E4" w:rsidP="003D66E5">
            <w:pPr>
              <w:jc w:val="center"/>
              <w:rPr>
                <w:rFonts w:eastAsia="Calibri" w:cs="Arial"/>
                <w:b/>
                <w:bCs/>
                <w:sz w:val="18"/>
                <w:szCs w:val="18"/>
              </w:rPr>
            </w:pPr>
            <w:r w:rsidRPr="00887251">
              <w:rPr>
                <w:rFonts w:eastAsia="Calibri" w:cs="Arial"/>
                <w:b/>
                <w:bCs/>
                <w:sz w:val="18"/>
                <w:szCs w:val="18"/>
              </w:rPr>
              <w:t xml:space="preserve">Przeciwdziałanie narkomanii </w:t>
            </w:r>
          </w:p>
        </w:tc>
        <w:tc>
          <w:tcPr>
            <w:tcW w:w="1551" w:type="dxa"/>
          </w:tcPr>
          <w:p w14:paraId="5FC795DA" w14:textId="77777777" w:rsidR="001676E4" w:rsidRPr="00887251" w:rsidRDefault="001676E4" w:rsidP="003D66E5">
            <w:pPr>
              <w:jc w:val="center"/>
              <w:rPr>
                <w:rFonts w:cs="Arial"/>
                <w:b/>
                <w:bCs/>
                <w:sz w:val="18"/>
                <w:szCs w:val="18"/>
              </w:rPr>
            </w:pPr>
            <w:r w:rsidRPr="00887251">
              <w:rPr>
                <w:rFonts w:cs="Arial"/>
                <w:b/>
                <w:bCs/>
                <w:sz w:val="18"/>
                <w:szCs w:val="18"/>
              </w:rPr>
              <w:t>Liczba organizacji realizujących zadanie w danym roku</w:t>
            </w:r>
          </w:p>
        </w:tc>
        <w:tc>
          <w:tcPr>
            <w:tcW w:w="2135" w:type="dxa"/>
          </w:tcPr>
          <w:p w14:paraId="06CCB373" w14:textId="77777777" w:rsidR="001676E4" w:rsidRPr="00887251" w:rsidRDefault="001676E4" w:rsidP="003D66E5">
            <w:pPr>
              <w:jc w:val="center"/>
              <w:rPr>
                <w:rFonts w:eastAsia="Calibri" w:cs="Arial"/>
                <w:sz w:val="18"/>
                <w:szCs w:val="18"/>
              </w:rPr>
            </w:pPr>
            <w:r w:rsidRPr="00887251">
              <w:rPr>
                <w:rFonts w:eastAsia="Calibri" w:cs="Arial"/>
                <w:b/>
                <w:bCs/>
                <w:sz w:val="18"/>
                <w:szCs w:val="18"/>
              </w:rPr>
              <w:t>Wysokość środków publicznych przyznanych na realizację zadania (zł)</w:t>
            </w:r>
          </w:p>
        </w:tc>
        <w:tc>
          <w:tcPr>
            <w:tcW w:w="2268" w:type="dxa"/>
          </w:tcPr>
          <w:p w14:paraId="760D01CA" w14:textId="77777777" w:rsidR="001676E4" w:rsidRPr="00887251" w:rsidRDefault="001676E4" w:rsidP="003D66E5">
            <w:pPr>
              <w:jc w:val="center"/>
              <w:rPr>
                <w:rFonts w:eastAsia="Calibri" w:cs="Arial"/>
                <w:b/>
                <w:bCs/>
                <w:sz w:val="18"/>
                <w:szCs w:val="18"/>
              </w:rPr>
            </w:pPr>
            <w:r w:rsidRPr="00887251">
              <w:rPr>
                <w:rFonts w:eastAsia="Calibri" w:cs="Arial"/>
                <w:b/>
                <w:bCs/>
                <w:sz w:val="18"/>
                <w:szCs w:val="18"/>
              </w:rPr>
              <w:t>Kwota wykorzystanej dotacji (zł)</w:t>
            </w:r>
          </w:p>
        </w:tc>
        <w:tc>
          <w:tcPr>
            <w:tcW w:w="1559" w:type="dxa"/>
          </w:tcPr>
          <w:p w14:paraId="6C0A995E" w14:textId="77777777" w:rsidR="001676E4" w:rsidRPr="00887251" w:rsidRDefault="001676E4" w:rsidP="003D66E5">
            <w:pPr>
              <w:jc w:val="center"/>
              <w:rPr>
                <w:rFonts w:eastAsia="Calibri" w:cs="Arial"/>
                <w:sz w:val="18"/>
                <w:szCs w:val="18"/>
              </w:rPr>
            </w:pPr>
            <w:r w:rsidRPr="00887251">
              <w:rPr>
                <w:rFonts w:eastAsia="Calibri" w:cs="Arial"/>
                <w:b/>
                <w:bCs/>
                <w:sz w:val="18"/>
                <w:szCs w:val="18"/>
              </w:rPr>
              <w:t>Liczba odbiorców zadania</w:t>
            </w:r>
          </w:p>
        </w:tc>
      </w:tr>
      <w:tr w:rsidR="001676E4" w:rsidRPr="00887251" w14:paraId="0E7AD273" w14:textId="77777777" w:rsidTr="003D66E5">
        <w:trPr>
          <w:trHeight w:val="383"/>
        </w:trPr>
        <w:tc>
          <w:tcPr>
            <w:tcW w:w="1701" w:type="dxa"/>
          </w:tcPr>
          <w:p w14:paraId="444C122C" w14:textId="77777777" w:rsidR="001676E4" w:rsidRPr="00887251" w:rsidRDefault="001676E4" w:rsidP="003D66E5">
            <w:pPr>
              <w:spacing w:after="120"/>
              <w:jc w:val="center"/>
              <w:rPr>
                <w:rFonts w:cs="Arial"/>
                <w:b/>
                <w:bCs/>
                <w:sz w:val="18"/>
                <w:szCs w:val="18"/>
              </w:rPr>
            </w:pPr>
            <w:r w:rsidRPr="00887251">
              <w:rPr>
                <w:rFonts w:cs="Arial"/>
                <w:b/>
                <w:bCs/>
                <w:sz w:val="18"/>
                <w:szCs w:val="18"/>
              </w:rPr>
              <w:t>2022</w:t>
            </w:r>
          </w:p>
        </w:tc>
        <w:tc>
          <w:tcPr>
            <w:tcW w:w="1551" w:type="dxa"/>
          </w:tcPr>
          <w:p w14:paraId="3561EF89" w14:textId="77777777" w:rsidR="001676E4" w:rsidRPr="00887251" w:rsidRDefault="001676E4" w:rsidP="003D66E5">
            <w:pPr>
              <w:spacing w:after="120"/>
              <w:jc w:val="center"/>
              <w:rPr>
                <w:rFonts w:cs="Arial"/>
                <w:sz w:val="18"/>
                <w:szCs w:val="18"/>
              </w:rPr>
            </w:pPr>
            <w:r w:rsidRPr="00887251">
              <w:rPr>
                <w:rFonts w:cs="Arial"/>
                <w:sz w:val="18"/>
                <w:szCs w:val="18"/>
              </w:rPr>
              <w:t>6</w:t>
            </w:r>
          </w:p>
        </w:tc>
        <w:tc>
          <w:tcPr>
            <w:tcW w:w="2135" w:type="dxa"/>
          </w:tcPr>
          <w:p w14:paraId="092F348A" w14:textId="77777777" w:rsidR="001676E4" w:rsidRPr="00887251" w:rsidRDefault="001676E4" w:rsidP="003D66E5">
            <w:pPr>
              <w:spacing w:after="120"/>
              <w:jc w:val="center"/>
              <w:rPr>
                <w:rFonts w:cs="Arial"/>
                <w:sz w:val="18"/>
                <w:szCs w:val="18"/>
              </w:rPr>
            </w:pPr>
            <w:r w:rsidRPr="00887251">
              <w:rPr>
                <w:rFonts w:cs="Arial"/>
                <w:sz w:val="18"/>
                <w:szCs w:val="18"/>
              </w:rPr>
              <w:t>188 400,00 zł</w:t>
            </w:r>
          </w:p>
        </w:tc>
        <w:tc>
          <w:tcPr>
            <w:tcW w:w="2268" w:type="dxa"/>
          </w:tcPr>
          <w:p w14:paraId="72FF3678" w14:textId="77777777" w:rsidR="001676E4" w:rsidRPr="00887251" w:rsidRDefault="001676E4" w:rsidP="003D66E5">
            <w:pPr>
              <w:spacing w:after="120"/>
              <w:jc w:val="center"/>
              <w:rPr>
                <w:rFonts w:cs="Arial"/>
                <w:sz w:val="18"/>
                <w:szCs w:val="18"/>
              </w:rPr>
            </w:pPr>
            <w:r w:rsidRPr="00887251">
              <w:rPr>
                <w:rFonts w:cs="Arial"/>
                <w:sz w:val="18"/>
                <w:szCs w:val="18"/>
              </w:rPr>
              <w:t>188 400,00 zł</w:t>
            </w:r>
          </w:p>
        </w:tc>
        <w:tc>
          <w:tcPr>
            <w:tcW w:w="1559" w:type="dxa"/>
          </w:tcPr>
          <w:p w14:paraId="43D99D78" w14:textId="77777777" w:rsidR="001676E4" w:rsidRPr="00887251" w:rsidRDefault="001676E4" w:rsidP="003D66E5">
            <w:pPr>
              <w:spacing w:after="120"/>
              <w:jc w:val="center"/>
              <w:rPr>
                <w:rFonts w:cs="Arial"/>
                <w:sz w:val="18"/>
                <w:szCs w:val="18"/>
              </w:rPr>
            </w:pPr>
            <w:r w:rsidRPr="00887251">
              <w:rPr>
                <w:rFonts w:cs="Arial"/>
                <w:sz w:val="18"/>
                <w:szCs w:val="18"/>
              </w:rPr>
              <w:t>4 429</w:t>
            </w:r>
          </w:p>
        </w:tc>
      </w:tr>
      <w:tr w:rsidR="001676E4" w:rsidRPr="00887251" w14:paraId="013FD860" w14:textId="77777777" w:rsidTr="003D66E5">
        <w:trPr>
          <w:trHeight w:val="367"/>
        </w:trPr>
        <w:tc>
          <w:tcPr>
            <w:tcW w:w="1701" w:type="dxa"/>
          </w:tcPr>
          <w:p w14:paraId="18E82EB1" w14:textId="77777777" w:rsidR="001676E4" w:rsidRPr="00887251" w:rsidRDefault="001676E4" w:rsidP="003D66E5">
            <w:pPr>
              <w:spacing w:after="120"/>
              <w:jc w:val="center"/>
              <w:rPr>
                <w:rFonts w:cs="Arial"/>
                <w:b/>
                <w:bCs/>
                <w:sz w:val="18"/>
                <w:szCs w:val="18"/>
              </w:rPr>
            </w:pPr>
            <w:r w:rsidRPr="00887251">
              <w:rPr>
                <w:rFonts w:cs="Arial"/>
                <w:b/>
                <w:bCs/>
                <w:sz w:val="18"/>
                <w:szCs w:val="18"/>
              </w:rPr>
              <w:t>2023</w:t>
            </w:r>
          </w:p>
        </w:tc>
        <w:tc>
          <w:tcPr>
            <w:tcW w:w="1551" w:type="dxa"/>
          </w:tcPr>
          <w:p w14:paraId="1E53F686" w14:textId="77777777" w:rsidR="001676E4" w:rsidRPr="00887251" w:rsidRDefault="001676E4" w:rsidP="003D66E5">
            <w:pPr>
              <w:spacing w:after="120"/>
              <w:jc w:val="center"/>
              <w:rPr>
                <w:rFonts w:cs="Arial"/>
                <w:sz w:val="18"/>
                <w:szCs w:val="18"/>
              </w:rPr>
            </w:pPr>
            <w:r w:rsidRPr="00887251">
              <w:rPr>
                <w:rFonts w:cs="Arial"/>
                <w:sz w:val="18"/>
                <w:szCs w:val="18"/>
              </w:rPr>
              <w:t>6</w:t>
            </w:r>
          </w:p>
        </w:tc>
        <w:tc>
          <w:tcPr>
            <w:tcW w:w="2135" w:type="dxa"/>
          </w:tcPr>
          <w:p w14:paraId="16252B54" w14:textId="77777777" w:rsidR="001676E4" w:rsidRPr="00887251" w:rsidRDefault="001676E4" w:rsidP="003D66E5">
            <w:pPr>
              <w:spacing w:after="120"/>
              <w:jc w:val="center"/>
              <w:rPr>
                <w:rFonts w:cs="Arial"/>
                <w:sz w:val="18"/>
                <w:szCs w:val="18"/>
              </w:rPr>
            </w:pPr>
            <w:r w:rsidRPr="00887251">
              <w:rPr>
                <w:rFonts w:cs="Arial"/>
                <w:sz w:val="18"/>
                <w:szCs w:val="18"/>
              </w:rPr>
              <w:t>190 000,00 zł</w:t>
            </w:r>
          </w:p>
        </w:tc>
        <w:tc>
          <w:tcPr>
            <w:tcW w:w="2268" w:type="dxa"/>
          </w:tcPr>
          <w:p w14:paraId="2AFBF548" w14:textId="77777777" w:rsidR="001676E4" w:rsidRPr="00887251" w:rsidRDefault="001676E4" w:rsidP="003D66E5">
            <w:pPr>
              <w:spacing w:after="120"/>
              <w:jc w:val="center"/>
              <w:rPr>
                <w:rFonts w:cs="Arial"/>
                <w:sz w:val="18"/>
                <w:szCs w:val="18"/>
              </w:rPr>
            </w:pPr>
            <w:r w:rsidRPr="00887251">
              <w:rPr>
                <w:rFonts w:cs="Arial"/>
                <w:sz w:val="18"/>
                <w:szCs w:val="18"/>
              </w:rPr>
              <w:t>190 000,00 zł</w:t>
            </w:r>
          </w:p>
        </w:tc>
        <w:tc>
          <w:tcPr>
            <w:tcW w:w="1559" w:type="dxa"/>
          </w:tcPr>
          <w:p w14:paraId="1EFD94BD" w14:textId="77777777" w:rsidR="001676E4" w:rsidRPr="00887251" w:rsidRDefault="001676E4" w:rsidP="003D66E5">
            <w:pPr>
              <w:spacing w:after="120"/>
              <w:jc w:val="center"/>
              <w:rPr>
                <w:rFonts w:cs="Arial"/>
                <w:sz w:val="18"/>
                <w:szCs w:val="18"/>
              </w:rPr>
            </w:pPr>
            <w:r w:rsidRPr="00887251">
              <w:rPr>
                <w:rFonts w:cs="Arial"/>
                <w:sz w:val="18"/>
                <w:szCs w:val="18"/>
              </w:rPr>
              <w:t>1 489</w:t>
            </w:r>
          </w:p>
        </w:tc>
      </w:tr>
      <w:tr w:rsidR="0022273E" w:rsidRPr="00887251" w14:paraId="24833EE4" w14:textId="77777777" w:rsidTr="003D66E5">
        <w:trPr>
          <w:trHeight w:val="367"/>
        </w:trPr>
        <w:tc>
          <w:tcPr>
            <w:tcW w:w="1701" w:type="dxa"/>
          </w:tcPr>
          <w:p w14:paraId="755ECB49" w14:textId="7D897717" w:rsidR="0022273E" w:rsidRPr="00887251" w:rsidRDefault="0022273E" w:rsidP="003D66E5">
            <w:pPr>
              <w:spacing w:after="120"/>
              <w:jc w:val="center"/>
              <w:rPr>
                <w:rFonts w:cs="Arial"/>
                <w:b/>
                <w:bCs/>
                <w:sz w:val="18"/>
                <w:szCs w:val="18"/>
              </w:rPr>
            </w:pPr>
            <w:r w:rsidRPr="00B11CBB">
              <w:rPr>
                <w:rFonts w:cs="Arial"/>
                <w:b/>
                <w:bCs/>
                <w:sz w:val="18"/>
                <w:szCs w:val="18"/>
              </w:rPr>
              <w:t>2024</w:t>
            </w:r>
          </w:p>
        </w:tc>
        <w:tc>
          <w:tcPr>
            <w:tcW w:w="1551" w:type="dxa"/>
          </w:tcPr>
          <w:p w14:paraId="50A9B052" w14:textId="7959C377" w:rsidR="0022273E" w:rsidRPr="00887251" w:rsidRDefault="00B11CBB" w:rsidP="003D66E5">
            <w:pPr>
              <w:spacing w:after="120"/>
              <w:jc w:val="center"/>
              <w:rPr>
                <w:rFonts w:cs="Arial"/>
                <w:sz w:val="18"/>
                <w:szCs w:val="18"/>
              </w:rPr>
            </w:pPr>
            <w:r>
              <w:rPr>
                <w:rFonts w:cs="Arial"/>
                <w:sz w:val="18"/>
                <w:szCs w:val="18"/>
              </w:rPr>
              <w:t>7</w:t>
            </w:r>
          </w:p>
        </w:tc>
        <w:tc>
          <w:tcPr>
            <w:tcW w:w="2135" w:type="dxa"/>
          </w:tcPr>
          <w:p w14:paraId="18DE1CEC" w14:textId="3DFA46CE" w:rsidR="0022273E" w:rsidRPr="00887251" w:rsidRDefault="00B11CBB" w:rsidP="003D66E5">
            <w:pPr>
              <w:spacing w:after="120"/>
              <w:jc w:val="center"/>
              <w:rPr>
                <w:rFonts w:cs="Arial"/>
                <w:sz w:val="18"/>
                <w:szCs w:val="18"/>
              </w:rPr>
            </w:pPr>
            <w:r>
              <w:rPr>
                <w:rFonts w:cs="Arial"/>
                <w:sz w:val="18"/>
                <w:szCs w:val="18"/>
              </w:rPr>
              <w:t>180 000,00 zł</w:t>
            </w:r>
          </w:p>
        </w:tc>
        <w:tc>
          <w:tcPr>
            <w:tcW w:w="2268" w:type="dxa"/>
          </w:tcPr>
          <w:p w14:paraId="1C084920" w14:textId="5FD9AD04" w:rsidR="0022273E" w:rsidRPr="00887251" w:rsidRDefault="00B11CBB" w:rsidP="003D66E5">
            <w:pPr>
              <w:spacing w:after="120"/>
              <w:jc w:val="center"/>
              <w:rPr>
                <w:rFonts w:cs="Arial"/>
                <w:sz w:val="18"/>
                <w:szCs w:val="18"/>
              </w:rPr>
            </w:pPr>
            <w:r>
              <w:rPr>
                <w:rFonts w:cs="Arial"/>
                <w:sz w:val="18"/>
                <w:szCs w:val="18"/>
              </w:rPr>
              <w:t>180 000,00 zł</w:t>
            </w:r>
          </w:p>
        </w:tc>
        <w:tc>
          <w:tcPr>
            <w:tcW w:w="1559" w:type="dxa"/>
          </w:tcPr>
          <w:p w14:paraId="04EA1DBB" w14:textId="1F4C482E" w:rsidR="0022273E" w:rsidRPr="00887251" w:rsidRDefault="00B11CBB" w:rsidP="003D66E5">
            <w:pPr>
              <w:spacing w:after="120"/>
              <w:jc w:val="center"/>
              <w:rPr>
                <w:rFonts w:cs="Arial"/>
                <w:sz w:val="18"/>
                <w:szCs w:val="18"/>
              </w:rPr>
            </w:pPr>
            <w:r>
              <w:rPr>
                <w:rFonts w:cs="Arial"/>
                <w:sz w:val="18"/>
                <w:szCs w:val="18"/>
              </w:rPr>
              <w:t>725</w:t>
            </w:r>
          </w:p>
        </w:tc>
      </w:tr>
    </w:tbl>
    <w:p w14:paraId="095C99D2" w14:textId="77777777" w:rsidR="001676E4" w:rsidRPr="00887251" w:rsidRDefault="001676E4" w:rsidP="001676E4">
      <w:pPr>
        <w:spacing w:line="360" w:lineRule="auto"/>
        <w:jc w:val="both"/>
        <w:rPr>
          <w:rFonts w:cs="Arial"/>
          <w:sz w:val="16"/>
          <w:szCs w:val="16"/>
        </w:rPr>
      </w:pPr>
      <w:r w:rsidRPr="00887251">
        <w:rPr>
          <w:rFonts w:cs="Arial"/>
          <w:sz w:val="16"/>
          <w:szCs w:val="16"/>
        </w:rPr>
        <w:t xml:space="preserve">Źródło: dane własne ROPS w Lublinie </w:t>
      </w:r>
    </w:p>
    <w:p w14:paraId="4085B095" w14:textId="7B4E3ED5" w:rsidR="001676E4" w:rsidRPr="00887251" w:rsidRDefault="001676E4" w:rsidP="001676E4">
      <w:pPr>
        <w:spacing w:after="0" w:line="360" w:lineRule="auto"/>
        <w:ind w:firstLine="567"/>
        <w:jc w:val="both"/>
        <w:rPr>
          <w:rFonts w:cs="Arial"/>
          <w:sz w:val="22"/>
          <w:szCs w:val="22"/>
        </w:rPr>
      </w:pPr>
      <w:r w:rsidRPr="00887251">
        <w:rPr>
          <w:rFonts w:cs="Arial"/>
          <w:sz w:val="22"/>
          <w:szCs w:val="22"/>
        </w:rPr>
        <w:t>Do organizacji, które w latach 2022-</w:t>
      </w:r>
      <w:r w:rsidR="0022273E">
        <w:rPr>
          <w:rFonts w:cs="Arial"/>
          <w:sz w:val="22"/>
          <w:szCs w:val="22"/>
        </w:rPr>
        <w:t xml:space="preserve"> </w:t>
      </w:r>
      <w:r w:rsidR="00882EA2">
        <w:rPr>
          <w:rFonts w:cs="Arial"/>
          <w:sz w:val="22"/>
          <w:szCs w:val="22"/>
        </w:rPr>
        <w:t xml:space="preserve">2024 </w:t>
      </w:r>
      <w:r w:rsidRPr="00887251">
        <w:rPr>
          <w:rFonts w:cs="Arial"/>
          <w:sz w:val="22"/>
          <w:szCs w:val="22"/>
        </w:rPr>
        <w:t>aktywnie współpracowały z Samorządem Województwa Lubelskiego w zakresie realizacji zadań z zakresu przeciwdziałania narkomanii zalicza się:</w:t>
      </w:r>
    </w:p>
    <w:p w14:paraId="63D4184F" w14:textId="77777777" w:rsidR="001676E4" w:rsidRPr="00887251" w:rsidRDefault="001676E4" w:rsidP="001676E4">
      <w:pPr>
        <w:numPr>
          <w:ilvl w:val="0"/>
          <w:numId w:val="50"/>
        </w:numPr>
        <w:spacing w:after="0" w:line="360" w:lineRule="auto"/>
        <w:rPr>
          <w:rFonts w:cs="Arial"/>
          <w:sz w:val="22"/>
          <w:szCs w:val="22"/>
        </w:rPr>
      </w:pPr>
      <w:r w:rsidRPr="00887251">
        <w:rPr>
          <w:rFonts w:cs="Arial"/>
          <w:sz w:val="22"/>
          <w:szCs w:val="22"/>
        </w:rPr>
        <w:lastRenderedPageBreak/>
        <w:t>Towarzystwo Nowa Kuźnia w Lublinie;</w:t>
      </w:r>
    </w:p>
    <w:p w14:paraId="5AB57E7E" w14:textId="77777777" w:rsidR="001676E4" w:rsidRPr="00887251" w:rsidRDefault="001676E4" w:rsidP="001676E4">
      <w:pPr>
        <w:numPr>
          <w:ilvl w:val="0"/>
          <w:numId w:val="50"/>
        </w:numPr>
        <w:spacing w:after="0" w:line="360" w:lineRule="auto"/>
        <w:ind w:left="641" w:hanging="357"/>
        <w:rPr>
          <w:rFonts w:cs="Arial"/>
          <w:sz w:val="22"/>
          <w:szCs w:val="22"/>
        </w:rPr>
      </w:pPr>
      <w:r w:rsidRPr="00887251">
        <w:rPr>
          <w:rFonts w:cs="Arial"/>
          <w:sz w:val="22"/>
          <w:szCs w:val="22"/>
        </w:rPr>
        <w:t>Stowarzyszenie „Kontakt” w Lublinie;</w:t>
      </w:r>
    </w:p>
    <w:p w14:paraId="63FEB530" w14:textId="7572EF69" w:rsidR="001676E4" w:rsidRPr="0022273E" w:rsidRDefault="001676E4" w:rsidP="0022273E">
      <w:pPr>
        <w:numPr>
          <w:ilvl w:val="0"/>
          <w:numId w:val="50"/>
        </w:numPr>
        <w:spacing w:after="0" w:line="360" w:lineRule="auto"/>
        <w:ind w:left="641" w:hanging="357"/>
        <w:rPr>
          <w:rFonts w:cs="Arial"/>
          <w:sz w:val="22"/>
          <w:szCs w:val="22"/>
        </w:rPr>
      </w:pPr>
      <w:r w:rsidRPr="00887251">
        <w:rPr>
          <w:rFonts w:cs="Arial"/>
          <w:sz w:val="22"/>
          <w:szCs w:val="22"/>
        </w:rPr>
        <w:t>Katolickie Stowarzyszenie Pomocy Osobom Potrzebującym „Agape” w  Lublinie;</w:t>
      </w:r>
      <w:r w:rsidR="00882EA2" w:rsidRPr="0022273E">
        <w:rPr>
          <w:rFonts w:cs="Arial"/>
          <w:strike/>
          <w:sz w:val="22"/>
          <w:szCs w:val="22"/>
        </w:rPr>
        <w:t xml:space="preserve"> </w:t>
      </w:r>
    </w:p>
    <w:p w14:paraId="3D79E1DB" w14:textId="39C24368" w:rsidR="001676E4" w:rsidRPr="00887251" w:rsidRDefault="001676E4" w:rsidP="001676E4">
      <w:pPr>
        <w:numPr>
          <w:ilvl w:val="0"/>
          <w:numId w:val="50"/>
        </w:numPr>
        <w:spacing w:after="0" w:line="360" w:lineRule="auto"/>
        <w:ind w:left="641" w:hanging="357"/>
        <w:rPr>
          <w:rFonts w:cs="Arial"/>
          <w:sz w:val="22"/>
          <w:szCs w:val="22"/>
        </w:rPr>
      </w:pPr>
      <w:r w:rsidRPr="00887251">
        <w:rPr>
          <w:rFonts w:cs="Arial"/>
          <w:sz w:val="22"/>
          <w:szCs w:val="22"/>
        </w:rPr>
        <w:t>Stowarzyszenie „Monar” Zarząd Główny w Warszawie;</w:t>
      </w:r>
      <w:r w:rsidR="00882EA2">
        <w:rPr>
          <w:rFonts w:cs="Arial"/>
          <w:sz w:val="22"/>
          <w:szCs w:val="22"/>
        </w:rPr>
        <w:t xml:space="preserve"> oddział w Lublinie i Puławach</w:t>
      </w:r>
      <w:r w:rsidR="00B11CBB">
        <w:rPr>
          <w:rFonts w:cs="Arial"/>
          <w:sz w:val="22"/>
          <w:szCs w:val="22"/>
        </w:rPr>
        <w:t>;</w:t>
      </w:r>
    </w:p>
    <w:p w14:paraId="07DA6C39" w14:textId="77777777" w:rsidR="001676E4" w:rsidRPr="00887251" w:rsidRDefault="001676E4" w:rsidP="001676E4">
      <w:pPr>
        <w:numPr>
          <w:ilvl w:val="0"/>
          <w:numId w:val="50"/>
        </w:numPr>
        <w:spacing w:after="0" w:line="360" w:lineRule="auto"/>
        <w:ind w:left="641" w:hanging="357"/>
        <w:rPr>
          <w:rFonts w:cs="Arial"/>
          <w:sz w:val="22"/>
          <w:szCs w:val="22"/>
        </w:rPr>
      </w:pPr>
      <w:r w:rsidRPr="00887251">
        <w:rPr>
          <w:rFonts w:cs="Arial"/>
          <w:sz w:val="22"/>
          <w:szCs w:val="22"/>
        </w:rPr>
        <w:t>Fundacja „Skrzydła dla Edukacji” w Lublinie;</w:t>
      </w:r>
    </w:p>
    <w:p w14:paraId="61767C21" w14:textId="77777777" w:rsidR="001676E4" w:rsidRPr="00887251" w:rsidRDefault="001676E4" w:rsidP="001676E4">
      <w:pPr>
        <w:numPr>
          <w:ilvl w:val="0"/>
          <w:numId w:val="50"/>
        </w:numPr>
        <w:spacing w:after="0" w:line="360" w:lineRule="auto"/>
        <w:ind w:left="641" w:hanging="357"/>
        <w:rPr>
          <w:rFonts w:cs="Arial"/>
          <w:sz w:val="22"/>
          <w:szCs w:val="22"/>
        </w:rPr>
      </w:pPr>
      <w:r w:rsidRPr="00887251">
        <w:rPr>
          <w:rFonts w:cs="Arial"/>
          <w:sz w:val="22"/>
          <w:szCs w:val="22"/>
        </w:rPr>
        <w:t>Lubelska Edukacja Realna w Lublinie;</w:t>
      </w:r>
    </w:p>
    <w:p w14:paraId="63961F01" w14:textId="6FA99CC7" w:rsidR="0022273E" w:rsidRPr="0022273E" w:rsidRDefault="001676E4" w:rsidP="0022273E">
      <w:pPr>
        <w:numPr>
          <w:ilvl w:val="0"/>
          <w:numId w:val="50"/>
        </w:numPr>
        <w:spacing w:after="0" w:line="360" w:lineRule="auto"/>
        <w:ind w:left="641" w:hanging="357"/>
        <w:rPr>
          <w:rFonts w:cs="Arial"/>
          <w:sz w:val="22"/>
          <w:szCs w:val="22"/>
        </w:rPr>
      </w:pPr>
      <w:r w:rsidRPr="00887251">
        <w:rPr>
          <w:rFonts w:cs="Arial"/>
          <w:sz w:val="22"/>
          <w:szCs w:val="22"/>
        </w:rPr>
        <w:t>Fundacja Nowe Horyzonty w Warszawie</w:t>
      </w:r>
      <w:bookmarkStart w:id="95" w:name="_Toc25562599"/>
      <w:r w:rsidR="00B11CBB">
        <w:rPr>
          <w:rFonts w:cs="Arial"/>
          <w:sz w:val="22"/>
          <w:szCs w:val="22"/>
        </w:rPr>
        <w:t>;</w:t>
      </w:r>
    </w:p>
    <w:p w14:paraId="53C47E35" w14:textId="19ED2572" w:rsidR="0022273E" w:rsidRDefault="0022273E" w:rsidP="0022273E">
      <w:pPr>
        <w:numPr>
          <w:ilvl w:val="0"/>
          <w:numId w:val="50"/>
        </w:numPr>
        <w:spacing w:after="0" w:line="360" w:lineRule="auto"/>
        <w:ind w:left="641" w:hanging="357"/>
        <w:rPr>
          <w:rFonts w:cs="Arial"/>
          <w:sz w:val="22"/>
          <w:szCs w:val="22"/>
        </w:rPr>
      </w:pPr>
      <w:r w:rsidRPr="0022273E">
        <w:rPr>
          <w:rFonts w:cs="Arial"/>
          <w:sz w:val="22"/>
          <w:szCs w:val="22"/>
        </w:rPr>
        <w:t>Stowarzyszenia "</w:t>
      </w:r>
      <w:proofErr w:type="spellStart"/>
      <w:r w:rsidRPr="0022273E">
        <w:rPr>
          <w:rFonts w:cs="Arial"/>
          <w:sz w:val="22"/>
          <w:szCs w:val="22"/>
        </w:rPr>
        <w:t>OdNowa</w:t>
      </w:r>
      <w:proofErr w:type="spellEnd"/>
      <w:r w:rsidRPr="0022273E">
        <w:rPr>
          <w:rFonts w:cs="Arial"/>
          <w:sz w:val="22"/>
          <w:szCs w:val="22"/>
        </w:rPr>
        <w:t>" Centrum Wsparcia i Leczenia Uzależnień</w:t>
      </w:r>
      <w:r w:rsidR="00B11CBB">
        <w:rPr>
          <w:rFonts w:cs="Arial"/>
          <w:sz w:val="22"/>
          <w:szCs w:val="22"/>
        </w:rPr>
        <w:t>;</w:t>
      </w:r>
    </w:p>
    <w:p w14:paraId="3C7F0E75" w14:textId="7DE14CE8" w:rsidR="00B11CBB" w:rsidRPr="0022273E" w:rsidRDefault="00B11CBB" w:rsidP="0022273E">
      <w:pPr>
        <w:numPr>
          <w:ilvl w:val="0"/>
          <w:numId w:val="50"/>
        </w:numPr>
        <w:spacing w:after="0" w:line="360" w:lineRule="auto"/>
        <w:ind w:left="641" w:hanging="357"/>
        <w:rPr>
          <w:rFonts w:cs="Arial"/>
          <w:sz w:val="22"/>
          <w:szCs w:val="22"/>
        </w:rPr>
      </w:pPr>
      <w:r>
        <w:rPr>
          <w:rFonts w:cs="Arial"/>
          <w:sz w:val="22"/>
          <w:szCs w:val="22"/>
        </w:rPr>
        <w:t>Stowarzyszenie Integracji Rodzin „Przystań” w Chełmie.</w:t>
      </w:r>
    </w:p>
    <w:p w14:paraId="529369FE" w14:textId="56249066" w:rsidR="00955250" w:rsidRPr="00317DE2" w:rsidRDefault="00955250" w:rsidP="00B11CBB">
      <w:pPr>
        <w:pStyle w:val="Nagwek2"/>
      </w:pPr>
      <w:bookmarkStart w:id="96" w:name="_Toc214277567"/>
      <w:r>
        <w:t>Realizacja działań profilaktycznych przez realizatorów programów uzależnień</w:t>
      </w:r>
      <w:bookmarkEnd w:id="96"/>
    </w:p>
    <w:p w14:paraId="7C5605E5" w14:textId="77777777" w:rsidR="00955250" w:rsidRPr="00317DE2" w:rsidRDefault="00955250" w:rsidP="00955250">
      <w:pPr>
        <w:spacing w:after="0" w:line="360" w:lineRule="auto"/>
        <w:ind w:firstLine="425"/>
        <w:jc w:val="both"/>
        <w:rPr>
          <w:rFonts w:cs="Arial"/>
          <w:bCs/>
          <w:sz w:val="22"/>
          <w:szCs w:val="22"/>
        </w:rPr>
      </w:pPr>
      <w:r w:rsidRPr="00317DE2">
        <w:rPr>
          <w:rFonts w:cs="Arial"/>
          <w:bCs/>
          <w:sz w:val="22"/>
          <w:szCs w:val="22"/>
        </w:rPr>
        <w:t>Działania profilaktyczne prowadzone są na wszystkich szczeblach samorządowych, tj. od jednostek wojewódzkich, przez powiatowe do gminnych. Na terenie województwa lubelskiego prowadzone są działania na wszystkich trzech szczeblach profilaktyki, tj. uniwersalnej, selektywnej i wskazującej.</w:t>
      </w:r>
    </w:p>
    <w:p w14:paraId="0B2D0D1E" w14:textId="16D67FD2" w:rsidR="00955250" w:rsidRPr="00317DE2" w:rsidRDefault="00955250" w:rsidP="00955250">
      <w:pPr>
        <w:spacing w:after="0" w:line="360" w:lineRule="auto"/>
        <w:ind w:firstLine="425"/>
        <w:jc w:val="both"/>
        <w:rPr>
          <w:rFonts w:cs="Arial"/>
          <w:b/>
          <w:sz w:val="22"/>
          <w:szCs w:val="22"/>
        </w:rPr>
      </w:pPr>
      <w:r w:rsidRPr="00317DE2">
        <w:rPr>
          <w:rFonts w:cs="Arial"/>
          <w:bCs/>
          <w:sz w:val="22"/>
          <w:szCs w:val="22"/>
        </w:rPr>
        <w:t>W roku 2023, w obszarze przeciwdziałania uzależnieniom, działania profilaktyczne prowadziła Komenda Wojewódzka Policji w Lublinie wraz z podległymi jej komendami powiatowymi. Zgodnie z Porozumieniem o współpracy w tworzeniu spójnej polityki profilaktyki narkomanii wśród dzieci i młodzieży zawartym w dniu 15 stycznia 2020 r</w:t>
      </w:r>
      <w:r w:rsidR="00575072">
        <w:rPr>
          <w:rFonts w:cs="Arial"/>
          <w:bCs/>
          <w:sz w:val="22"/>
          <w:szCs w:val="22"/>
        </w:rPr>
        <w:t>oku</w:t>
      </w:r>
      <w:r w:rsidRPr="00317DE2">
        <w:rPr>
          <w:rFonts w:cs="Arial"/>
          <w:bCs/>
          <w:sz w:val="22"/>
          <w:szCs w:val="22"/>
        </w:rPr>
        <w:t xml:space="preserve"> w Warszawie pomiędzy Ministrem Edukacji Narodowej, Ministrem Spraw Wewnętrznych i Administracji, Komendantem Głównym Policji oraz Głównym Inspektorem Sanitarnym funkcjonariusze Policji brali udział w przedsięwzięciach profilaktyki narkomanii organizowanych przez szkoły i placówki opiekuńczo-wychowawcze, uczestniczyli w edukacji uczniów i wychowanków w zakresie odpowiedzialności prawnej nieletnich, w tym za czyny karalne z ustawy o przeciwdziałaniu narkomanii; podnosili poziom wiedzy rodziców, nauczycieli i innych pracowników szkoły w</w:t>
      </w:r>
      <w:r>
        <w:rPr>
          <w:rFonts w:cs="Arial"/>
          <w:bCs/>
          <w:sz w:val="22"/>
          <w:szCs w:val="22"/>
        </w:rPr>
        <w:t> </w:t>
      </w:r>
      <w:r w:rsidRPr="00317DE2">
        <w:rPr>
          <w:rFonts w:cs="Arial"/>
          <w:bCs/>
          <w:sz w:val="22"/>
          <w:szCs w:val="22"/>
        </w:rPr>
        <w:t>zakresie szkodliwości substancji psychoaktywnych.</w:t>
      </w:r>
    </w:p>
    <w:p w14:paraId="163B9674" w14:textId="6D3BDD6B" w:rsidR="00955250" w:rsidRPr="005952CC" w:rsidRDefault="00955250" w:rsidP="0022273E">
      <w:pPr>
        <w:spacing w:after="0" w:line="360" w:lineRule="auto"/>
        <w:ind w:firstLine="425"/>
        <w:jc w:val="both"/>
        <w:rPr>
          <w:rFonts w:cs="Arial"/>
          <w:bCs/>
          <w:sz w:val="22"/>
          <w:szCs w:val="22"/>
        </w:rPr>
      </w:pPr>
      <w:r w:rsidRPr="00317DE2">
        <w:rPr>
          <w:rFonts w:cs="Arial"/>
          <w:bCs/>
          <w:sz w:val="22"/>
          <w:szCs w:val="22"/>
        </w:rPr>
        <w:t>W ramach współpracy dot. omawianej tematyki policjanci z woj</w:t>
      </w:r>
      <w:r w:rsidR="00575072">
        <w:rPr>
          <w:rFonts w:cs="Arial"/>
          <w:bCs/>
          <w:sz w:val="22"/>
          <w:szCs w:val="22"/>
        </w:rPr>
        <w:t>ewództwa</w:t>
      </w:r>
      <w:r w:rsidRPr="00317DE2">
        <w:rPr>
          <w:rFonts w:cs="Arial"/>
          <w:bCs/>
          <w:sz w:val="22"/>
          <w:szCs w:val="22"/>
        </w:rPr>
        <w:t xml:space="preserve"> lubelskiego wzmacniali działania prospołeczne z organizacjami pozarządowymi. Ogólna liczba działań zorganizowanych w obszarze „Narkotyki, Dopalacze, Środki odurzające” to 454, w tym liczba uczestników dorosłych 3 177 osób, natomiast dzieci i młodzież: 13 561 osób. </w:t>
      </w:r>
      <w:r>
        <w:rPr>
          <w:rFonts w:cs="Arial"/>
          <w:bCs/>
          <w:sz w:val="22"/>
          <w:szCs w:val="22"/>
        </w:rPr>
        <w:t xml:space="preserve">Szczegóły można znaleźć w Raporcie EW za 2023 rok. </w:t>
      </w:r>
    </w:p>
    <w:p w14:paraId="07078B27" w14:textId="77777777" w:rsidR="00955250" w:rsidRPr="00317DE2" w:rsidRDefault="00955250" w:rsidP="00955250">
      <w:pPr>
        <w:spacing w:after="0" w:line="360" w:lineRule="auto"/>
        <w:ind w:firstLine="425"/>
        <w:jc w:val="both"/>
        <w:rPr>
          <w:rFonts w:cs="Arial"/>
          <w:bCs/>
          <w:sz w:val="22"/>
          <w:szCs w:val="22"/>
        </w:rPr>
      </w:pPr>
      <w:r w:rsidRPr="00317DE2">
        <w:rPr>
          <w:rFonts w:cs="Arial"/>
          <w:bCs/>
          <w:sz w:val="22"/>
          <w:szCs w:val="22"/>
        </w:rPr>
        <w:t>Otwarty konkurs ofert na realizację zadań z zakresu ochrony i promocji zdrowia –zapobieganie zakażeniom HIV i zwalczania AIDS w ramach dotacji celowej z budżetu państwa ogłosił Wojewoda Lubelski. Wśród zaplanowanych działań znalazło się:</w:t>
      </w:r>
    </w:p>
    <w:p w14:paraId="477214AF" w14:textId="77777777" w:rsidR="00955250" w:rsidRPr="005952CC" w:rsidRDefault="00955250" w:rsidP="00955250">
      <w:pPr>
        <w:pStyle w:val="Akapitzlist"/>
        <w:numPr>
          <w:ilvl w:val="0"/>
          <w:numId w:val="49"/>
        </w:numPr>
        <w:spacing w:after="0" w:line="360" w:lineRule="auto"/>
        <w:jc w:val="both"/>
        <w:rPr>
          <w:rFonts w:cs="Arial"/>
          <w:bCs/>
          <w:sz w:val="22"/>
          <w:szCs w:val="22"/>
        </w:rPr>
      </w:pPr>
      <w:r w:rsidRPr="005952CC">
        <w:rPr>
          <w:rFonts w:cs="Arial"/>
          <w:bCs/>
          <w:sz w:val="22"/>
          <w:szCs w:val="22"/>
        </w:rPr>
        <w:lastRenderedPageBreak/>
        <w:t>wspieranie działalności punktów konsultacyjno-diagnostycznych funkcjonujących na terenie województwa lubelskiego, prowadzących anonimowe i bezpłatne, testowanie w kierunku HIV, połączone z poradnictwem przed i po teście,</w:t>
      </w:r>
    </w:p>
    <w:p w14:paraId="7E905C48" w14:textId="77777777" w:rsidR="00955250" w:rsidRPr="005952CC" w:rsidRDefault="00955250" w:rsidP="00955250">
      <w:pPr>
        <w:pStyle w:val="Akapitzlist"/>
        <w:numPr>
          <w:ilvl w:val="0"/>
          <w:numId w:val="49"/>
        </w:numPr>
        <w:spacing w:after="0" w:line="360" w:lineRule="auto"/>
        <w:jc w:val="both"/>
        <w:rPr>
          <w:rFonts w:cs="Arial"/>
          <w:bCs/>
          <w:sz w:val="22"/>
          <w:szCs w:val="22"/>
        </w:rPr>
      </w:pPr>
      <w:r w:rsidRPr="005952CC">
        <w:rPr>
          <w:rFonts w:cs="Arial"/>
          <w:bCs/>
          <w:sz w:val="22"/>
          <w:szCs w:val="22"/>
        </w:rPr>
        <w:t>wspieranie działań profilaktycznych w zakresie problematyki HIV/AIDS poprzez edukację skierowaną do pracowników służb mundurowych Policji województwa lubelskiego,</w:t>
      </w:r>
    </w:p>
    <w:p w14:paraId="033126C7" w14:textId="77777777" w:rsidR="00955250" w:rsidRPr="005952CC" w:rsidRDefault="00955250" w:rsidP="00955250">
      <w:pPr>
        <w:pStyle w:val="Akapitzlist"/>
        <w:numPr>
          <w:ilvl w:val="0"/>
          <w:numId w:val="49"/>
        </w:numPr>
        <w:spacing w:after="0" w:line="360" w:lineRule="auto"/>
        <w:jc w:val="both"/>
        <w:rPr>
          <w:rFonts w:cs="Arial"/>
          <w:bCs/>
          <w:sz w:val="22"/>
          <w:szCs w:val="22"/>
        </w:rPr>
      </w:pPr>
      <w:r w:rsidRPr="005952CC">
        <w:rPr>
          <w:rFonts w:cs="Arial"/>
          <w:bCs/>
          <w:sz w:val="22"/>
          <w:szCs w:val="22"/>
        </w:rPr>
        <w:t>wspieranie działań profilaktycznych w zakresie problematyki HIV/AIDS poprzez edukację skierowaną do uczniów klas VII i VIII szkoły podstawowej oraz uczniów I</w:t>
      </w:r>
      <w:r>
        <w:rPr>
          <w:rFonts w:cs="Arial"/>
          <w:bCs/>
          <w:sz w:val="22"/>
          <w:szCs w:val="22"/>
        </w:rPr>
        <w:t> </w:t>
      </w:r>
      <w:r w:rsidRPr="005952CC">
        <w:rPr>
          <w:rFonts w:cs="Arial"/>
          <w:bCs/>
          <w:sz w:val="22"/>
          <w:szCs w:val="22"/>
        </w:rPr>
        <w:t>klasy szkoły ponadpodstawowej.</w:t>
      </w:r>
    </w:p>
    <w:p w14:paraId="0FA95412" w14:textId="77777777" w:rsidR="00955250" w:rsidRPr="00317DE2" w:rsidRDefault="00955250" w:rsidP="00955250">
      <w:pPr>
        <w:spacing w:after="0" w:line="360" w:lineRule="auto"/>
        <w:ind w:firstLine="425"/>
        <w:jc w:val="both"/>
        <w:rPr>
          <w:rFonts w:cs="Arial"/>
          <w:bCs/>
          <w:sz w:val="22"/>
          <w:szCs w:val="22"/>
        </w:rPr>
      </w:pPr>
      <w:r w:rsidRPr="00317DE2">
        <w:rPr>
          <w:rFonts w:cs="Arial"/>
          <w:bCs/>
          <w:sz w:val="22"/>
          <w:szCs w:val="22"/>
        </w:rPr>
        <w:t>Profilaktyka HIV/AIDS prowadzona przez WSSE w roku 2023 w ramach realizacji Krajowego Programu Zapobiegania HIV i Zwalczania AIDS w województwie lubelskim dotyczyła następujących działań:</w:t>
      </w:r>
    </w:p>
    <w:p w14:paraId="6E0AFDB9" w14:textId="54C12208" w:rsidR="00955250" w:rsidRPr="005952CC" w:rsidRDefault="00955250" w:rsidP="00955250">
      <w:pPr>
        <w:pStyle w:val="Akapitzlist"/>
        <w:numPr>
          <w:ilvl w:val="2"/>
          <w:numId w:val="42"/>
        </w:numPr>
        <w:spacing w:after="0" w:line="360" w:lineRule="auto"/>
        <w:ind w:left="709"/>
        <w:jc w:val="both"/>
        <w:rPr>
          <w:rFonts w:cs="Arial"/>
          <w:bCs/>
          <w:sz w:val="22"/>
          <w:szCs w:val="22"/>
        </w:rPr>
      </w:pPr>
      <w:r w:rsidRPr="005952CC">
        <w:rPr>
          <w:rFonts w:cs="Arial"/>
          <w:bCs/>
          <w:sz w:val="22"/>
          <w:szCs w:val="22"/>
        </w:rPr>
        <w:t>Edukowano wybrane grupy zawodowe w zakresie w aspekcie bezpiecznego wykonywania obowiązków zawodowych</w:t>
      </w:r>
      <w:r w:rsidR="0022273E">
        <w:rPr>
          <w:rFonts w:cs="Arial"/>
          <w:bCs/>
          <w:sz w:val="22"/>
          <w:szCs w:val="22"/>
        </w:rPr>
        <w:t>;</w:t>
      </w:r>
    </w:p>
    <w:p w14:paraId="36B4821E" w14:textId="5C4532F6" w:rsidR="00955250" w:rsidRPr="005952CC" w:rsidRDefault="00955250" w:rsidP="00955250">
      <w:pPr>
        <w:pStyle w:val="Akapitzlist"/>
        <w:numPr>
          <w:ilvl w:val="2"/>
          <w:numId w:val="42"/>
        </w:numPr>
        <w:spacing w:after="0" w:line="360" w:lineRule="auto"/>
        <w:ind w:left="709"/>
        <w:jc w:val="both"/>
        <w:rPr>
          <w:rFonts w:cs="Arial"/>
          <w:bCs/>
          <w:sz w:val="22"/>
          <w:szCs w:val="22"/>
        </w:rPr>
      </w:pPr>
      <w:r w:rsidRPr="005952CC">
        <w:rPr>
          <w:rFonts w:cs="Arial"/>
          <w:bCs/>
          <w:sz w:val="22"/>
          <w:szCs w:val="22"/>
        </w:rPr>
        <w:t>Dla dzieci i młodzieży w placówkach nauczania, wychowania i wypoczynku</w:t>
      </w:r>
      <w:r w:rsidR="0022273E">
        <w:rPr>
          <w:rFonts w:cs="Arial"/>
          <w:bCs/>
          <w:sz w:val="22"/>
          <w:szCs w:val="22"/>
        </w:rPr>
        <w:t>;</w:t>
      </w:r>
    </w:p>
    <w:p w14:paraId="45F07F8E" w14:textId="1991FD51" w:rsidR="00955250" w:rsidRPr="00904284" w:rsidRDefault="00955250" w:rsidP="00955250">
      <w:pPr>
        <w:pStyle w:val="Akapitzlist"/>
        <w:numPr>
          <w:ilvl w:val="2"/>
          <w:numId w:val="42"/>
        </w:numPr>
        <w:spacing w:after="0" w:line="360" w:lineRule="auto"/>
        <w:ind w:left="709"/>
        <w:jc w:val="both"/>
        <w:rPr>
          <w:rFonts w:cs="Arial"/>
          <w:bCs/>
          <w:strike/>
          <w:sz w:val="22"/>
          <w:szCs w:val="22"/>
        </w:rPr>
      </w:pPr>
      <w:r w:rsidRPr="005952CC">
        <w:rPr>
          <w:rFonts w:cs="Arial"/>
          <w:bCs/>
          <w:sz w:val="22"/>
          <w:szCs w:val="22"/>
        </w:rPr>
        <w:t>Przygotowania do obchodów 1 XII Światowego Dnia AIDS poprzedziło wysyłanie pism do placówek ochrony zdrowia i zorganizowanie 16 narad</w:t>
      </w:r>
      <w:r w:rsidR="00575072">
        <w:rPr>
          <w:rFonts w:cs="Arial"/>
          <w:bCs/>
          <w:sz w:val="22"/>
          <w:szCs w:val="22"/>
        </w:rPr>
        <w:t>;</w:t>
      </w:r>
      <w:r w:rsidRPr="005952CC">
        <w:rPr>
          <w:rFonts w:cs="Arial"/>
          <w:bCs/>
          <w:sz w:val="22"/>
          <w:szCs w:val="22"/>
        </w:rPr>
        <w:t xml:space="preserve"> </w:t>
      </w:r>
    </w:p>
    <w:p w14:paraId="365A4F71" w14:textId="336D16EF" w:rsidR="00955250" w:rsidRPr="00904284" w:rsidRDefault="00955250" w:rsidP="00955250">
      <w:pPr>
        <w:pStyle w:val="Akapitzlist"/>
        <w:numPr>
          <w:ilvl w:val="2"/>
          <w:numId w:val="42"/>
        </w:numPr>
        <w:spacing w:after="0" w:line="360" w:lineRule="auto"/>
        <w:ind w:left="709"/>
        <w:jc w:val="both"/>
        <w:rPr>
          <w:rFonts w:cs="Arial"/>
          <w:bCs/>
          <w:strike/>
          <w:sz w:val="22"/>
          <w:szCs w:val="22"/>
        </w:rPr>
      </w:pPr>
      <w:r w:rsidRPr="005952CC">
        <w:rPr>
          <w:rFonts w:cs="Arial"/>
          <w:bCs/>
          <w:sz w:val="22"/>
          <w:szCs w:val="22"/>
        </w:rPr>
        <w:t>Kampania społeczna „Jedyny taki test” nosiła tytuł „Jedyny test, którego prawdopodobnie nie zleciłeś” i była adresowana do lekarzy, zwłaszcza do lekarzy podstawowej opieki zdrowotnej, a także ginekologów, pediatrów/neonatologów, lekarzy chorób wewnętrznych i zakaźnych oraz studentów medycyny, a poprzez te  grupy zawodowe – do ogółu społeczeństwa.</w:t>
      </w:r>
    </w:p>
    <w:p w14:paraId="41A66842" w14:textId="4061FE1A" w:rsidR="00955250" w:rsidRPr="00317DE2" w:rsidRDefault="00955250" w:rsidP="00955250">
      <w:pPr>
        <w:spacing w:after="0" w:line="360" w:lineRule="auto"/>
        <w:ind w:firstLine="425"/>
        <w:jc w:val="both"/>
        <w:rPr>
          <w:rFonts w:cs="Arial"/>
          <w:bCs/>
          <w:sz w:val="22"/>
          <w:szCs w:val="22"/>
        </w:rPr>
      </w:pPr>
      <w:r w:rsidRPr="00317DE2">
        <w:rPr>
          <w:rFonts w:cs="Arial"/>
          <w:bCs/>
          <w:sz w:val="22"/>
          <w:szCs w:val="22"/>
        </w:rPr>
        <w:t>Działania edukacyjne w zakresie przeciwdziałania uzależnieniom w obszarze nowych narkotyków na terenie woj. lubelskiego prowadziła też WSSE w Lublinie. Koncentrowały się one wokół realizacji następujących działań</w:t>
      </w:r>
      <w:r w:rsidR="00575072">
        <w:rPr>
          <w:rFonts w:cs="Arial"/>
          <w:bCs/>
          <w:sz w:val="22"/>
          <w:szCs w:val="22"/>
        </w:rPr>
        <w:t>:</w:t>
      </w:r>
      <w:r w:rsidRPr="00317DE2">
        <w:rPr>
          <w:rFonts w:cs="Arial"/>
          <w:bCs/>
          <w:sz w:val="22"/>
          <w:szCs w:val="22"/>
        </w:rPr>
        <w:t xml:space="preserve"> </w:t>
      </w:r>
    </w:p>
    <w:p w14:paraId="27FA8D63" w14:textId="51659111" w:rsidR="00955250" w:rsidRPr="00904284" w:rsidRDefault="00955250" w:rsidP="00955250">
      <w:pPr>
        <w:pStyle w:val="Akapitzlist"/>
        <w:numPr>
          <w:ilvl w:val="1"/>
          <w:numId w:val="41"/>
        </w:numPr>
        <w:spacing w:after="0" w:line="360" w:lineRule="auto"/>
        <w:ind w:left="709"/>
        <w:jc w:val="both"/>
        <w:rPr>
          <w:rFonts w:cs="Arial"/>
          <w:bCs/>
          <w:strike/>
          <w:sz w:val="22"/>
          <w:szCs w:val="22"/>
        </w:rPr>
      </w:pPr>
      <w:r w:rsidRPr="005952CC">
        <w:rPr>
          <w:rFonts w:cs="Arial"/>
          <w:bCs/>
          <w:sz w:val="22"/>
          <w:szCs w:val="22"/>
        </w:rPr>
        <w:t>Program edukacyjny „ARS, czyli jak dbać o miłość”</w:t>
      </w:r>
      <w:r w:rsidR="00575072">
        <w:rPr>
          <w:rFonts w:cs="Arial"/>
          <w:bCs/>
          <w:sz w:val="22"/>
          <w:szCs w:val="22"/>
        </w:rPr>
        <w:t xml:space="preserve">, </w:t>
      </w:r>
      <w:r w:rsidRPr="005952CC">
        <w:rPr>
          <w:rFonts w:cs="Arial"/>
          <w:bCs/>
          <w:sz w:val="22"/>
          <w:szCs w:val="22"/>
        </w:rPr>
        <w:t xml:space="preserve"> którego tematyka wiązała się z</w:t>
      </w:r>
      <w:r>
        <w:rPr>
          <w:rFonts w:cs="Arial"/>
          <w:bCs/>
          <w:sz w:val="22"/>
          <w:szCs w:val="22"/>
        </w:rPr>
        <w:t> </w:t>
      </w:r>
      <w:r w:rsidRPr="005952CC">
        <w:rPr>
          <w:rFonts w:cs="Arial"/>
          <w:bCs/>
          <w:sz w:val="22"/>
          <w:szCs w:val="22"/>
        </w:rPr>
        <w:t>profilaktyką uzależnień od alkoholu, tytoniu i narkotyków w kontekście zaburzenia relacji miłości oraz funkcji prokreacyjnej młodych ludzi sięgających po używki.</w:t>
      </w:r>
    </w:p>
    <w:p w14:paraId="14CC7520" w14:textId="55578694" w:rsidR="00955250" w:rsidRPr="00904284" w:rsidRDefault="00955250" w:rsidP="0022273E">
      <w:pPr>
        <w:pStyle w:val="Akapitzlist"/>
        <w:numPr>
          <w:ilvl w:val="1"/>
          <w:numId w:val="41"/>
        </w:numPr>
        <w:spacing w:after="0" w:line="360" w:lineRule="auto"/>
        <w:ind w:left="709"/>
        <w:jc w:val="both"/>
        <w:rPr>
          <w:rFonts w:cs="Arial"/>
          <w:bCs/>
          <w:strike/>
          <w:sz w:val="22"/>
          <w:szCs w:val="22"/>
        </w:rPr>
      </w:pPr>
      <w:r>
        <w:rPr>
          <w:rFonts w:cs="Arial"/>
          <w:bCs/>
          <w:sz w:val="22"/>
          <w:szCs w:val="22"/>
        </w:rPr>
        <w:t>Realizowano t</w:t>
      </w:r>
      <w:r w:rsidRPr="005952CC">
        <w:rPr>
          <w:rFonts w:cs="Arial"/>
          <w:bCs/>
          <w:sz w:val="22"/>
          <w:szCs w:val="22"/>
        </w:rPr>
        <w:t>ematykę dotyczącą profilaktyki narkotyków i środków psychoaktywnych</w:t>
      </w:r>
      <w:r w:rsidR="00575072">
        <w:rPr>
          <w:rFonts w:cs="Arial"/>
          <w:bCs/>
          <w:sz w:val="22"/>
          <w:szCs w:val="22"/>
        </w:rPr>
        <w:t>.</w:t>
      </w:r>
    </w:p>
    <w:p w14:paraId="02B6007B" w14:textId="4EA01633" w:rsidR="00955250" w:rsidRPr="005952CC" w:rsidRDefault="00955250" w:rsidP="00955250">
      <w:pPr>
        <w:pStyle w:val="Akapitzlist"/>
        <w:numPr>
          <w:ilvl w:val="1"/>
          <w:numId w:val="41"/>
        </w:numPr>
        <w:spacing w:after="0" w:line="360" w:lineRule="auto"/>
        <w:ind w:left="709"/>
        <w:jc w:val="both"/>
        <w:rPr>
          <w:rFonts w:cs="Arial"/>
          <w:bCs/>
          <w:sz w:val="22"/>
          <w:szCs w:val="22"/>
        </w:rPr>
      </w:pPr>
      <w:r w:rsidRPr="005952CC">
        <w:rPr>
          <w:rFonts w:cs="Arial"/>
          <w:bCs/>
          <w:sz w:val="22"/>
          <w:szCs w:val="22"/>
        </w:rPr>
        <w:t>Konkurs na komiks „5 moich dobrych praktyk na życie bez nałogów” został zorganizowany w celu sięgnięcia przez młodzież do pozytywnych wzorców, kształtujących zdrowie fizyczne i psychiczne oraz kreowania indywidualnych nawyków chroniących prze</w:t>
      </w:r>
      <w:r w:rsidR="00575072">
        <w:rPr>
          <w:rFonts w:cs="Arial"/>
          <w:bCs/>
          <w:sz w:val="22"/>
          <w:szCs w:val="22"/>
        </w:rPr>
        <w:t>d</w:t>
      </w:r>
      <w:r w:rsidRPr="005952CC">
        <w:rPr>
          <w:rFonts w:cs="Arial"/>
          <w:bCs/>
          <w:sz w:val="22"/>
          <w:szCs w:val="22"/>
        </w:rPr>
        <w:t xml:space="preserve"> popadnięciem w nałogowe zachowania.</w:t>
      </w:r>
    </w:p>
    <w:p w14:paraId="1B3D1679" w14:textId="27BA9F5F" w:rsidR="00955250" w:rsidRPr="00317DE2" w:rsidRDefault="00955250" w:rsidP="00955250">
      <w:pPr>
        <w:spacing w:after="0" w:line="360" w:lineRule="auto"/>
        <w:ind w:firstLine="425"/>
        <w:jc w:val="both"/>
        <w:rPr>
          <w:rFonts w:cs="Arial"/>
          <w:bCs/>
          <w:sz w:val="22"/>
          <w:szCs w:val="22"/>
        </w:rPr>
      </w:pPr>
      <w:r w:rsidRPr="00317DE2">
        <w:rPr>
          <w:rFonts w:cs="Arial"/>
          <w:bCs/>
          <w:sz w:val="22"/>
          <w:szCs w:val="22"/>
        </w:rPr>
        <w:t>Działania w zakresie profilaktyki uniwersalnej w województwie lubelskim prowadzone były również przez organizacje pozarządowe. Można tu wymienić np. Towarzystwo Nowa Kuźnia, które w 2023 r</w:t>
      </w:r>
      <w:r w:rsidR="00575072">
        <w:rPr>
          <w:rFonts w:cs="Arial"/>
          <w:bCs/>
          <w:sz w:val="22"/>
          <w:szCs w:val="22"/>
        </w:rPr>
        <w:t>oku</w:t>
      </w:r>
      <w:r w:rsidRPr="00317DE2">
        <w:rPr>
          <w:rFonts w:cs="Arial"/>
          <w:bCs/>
          <w:sz w:val="22"/>
          <w:szCs w:val="22"/>
        </w:rPr>
        <w:t xml:space="preserve"> realizowało: </w:t>
      </w:r>
    </w:p>
    <w:p w14:paraId="1193E4BF" w14:textId="1341A1D1" w:rsidR="00955250" w:rsidRPr="005952CC" w:rsidRDefault="00955250" w:rsidP="0022273E">
      <w:pPr>
        <w:pStyle w:val="Akapitzlist"/>
        <w:numPr>
          <w:ilvl w:val="2"/>
          <w:numId w:val="55"/>
        </w:numPr>
        <w:spacing w:after="0" w:line="360" w:lineRule="auto"/>
        <w:ind w:left="709"/>
        <w:jc w:val="both"/>
        <w:rPr>
          <w:rFonts w:cs="Arial"/>
          <w:bCs/>
          <w:sz w:val="22"/>
          <w:szCs w:val="22"/>
        </w:rPr>
      </w:pPr>
      <w:r w:rsidRPr="005952CC">
        <w:rPr>
          <w:rFonts w:cs="Arial"/>
          <w:bCs/>
          <w:sz w:val="22"/>
          <w:szCs w:val="22"/>
        </w:rPr>
        <w:lastRenderedPageBreak/>
        <w:t>Program szkoleniowy dla kadry przedszkolnej i wczesnoszkolnej</w:t>
      </w:r>
      <w:r w:rsidR="00575072">
        <w:rPr>
          <w:rFonts w:cs="Arial"/>
          <w:bCs/>
          <w:sz w:val="22"/>
          <w:szCs w:val="22"/>
        </w:rPr>
        <w:t>;</w:t>
      </w:r>
      <w:r w:rsidRPr="005952CC">
        <w:rPr>
          <w:rFonts w:cs="Arial"/>
          <w:bCs/>
          <w:sz w:val="22"/>
          <w:szCs w:val="22"/>
        </w:rPr>
        <w:t xml:space="preserve"> </w:t>
      </w:r>
    </w:p>
    <w:p w14:paraId="71BB341F" w14:textId="38418CCB" w:rsidR="00955250" w:rsidRPr="005952CC" w:rsidRDefault="00955250" w:rsidP="0022273E">
      <w:pPr>
        <w:pStyle w:val="Akapitzlist"/>
        <w:numPr>
          <w:ilvl w:val="2"/>
          <w:numId w:val="55"/>
        </w:numPr>
        <w:spacing w:after="0" w:line="360" w:lineRule="auto"/>
        <w:ind w:left="709"/>
        <w:jc w:val="both"/>
        <w:rPr>
          <w:rFonts w:cs="Arial"/>
          <w:bCs/>
          <w:sz w:val="22"/>
          <w:szCs w:val="22"/>
        </w:rPr>
      </w:pPr>
      <w:r w:rsidRPr="005952CC">
        <w:rPr>
          <w:rFonts w:cs="Arial"/>
          <w:bCs/>
          <w:sz w:val="22"/>
          <w:szCs w:val="22"/>
        </w:rPr>
        <w:t>Program szkoleniowy dla kadry pedagogicznej – zwiększenie kompetencji kadry pedagogicznej do realizacji działań profilaktycznych w zakresie przeciwdziałania narkomanii w placówkach oświatowych</w:t>
      </w:r>
      <w:r w:rsidR="00575072">
        <w:rPr>
          <w:rFonts w:cs="Arial"/>
          <w:bCs/>
          <w:sz w:val="22"/>
          <w:szCs w:val="22"/>
        </w:rPr>
        <w:t>;</w:t>
      </w:r>
    </w:p>
    <w:p w14:paraId="35CB8711" w14:textId="673A6833" w:rsidR="00955250" w:rsidRPr="005952CC" w:rsidRDefault="00955250" w:rsidP="0022273E">
      <w:pPr>
        <w:pStyle w:val="Akapitzlist"/>
        <w:numPr>
          <w:ilvl w:val="2"/>
          <w:numId w:val="55"/>
        </w:numPr>
        <w:spacing w:after="0" w:line="360" w:lineRule="auto"/>
        <w:ind w:left="709"/>
        <w:jc w:val="both"/>
        <w:rPr>
          <w:rFonts w:cs="Arial"/>
          <w:bCs/>
          <w:sz w:val="22"/>
          <w:szCs w:val="22"/>
        </w:rPr>
      </w:pPr>
      <w:r w:rsidRPr="005952CC">
        <w:rPr>
          <w:rFonts w:cs="Arial"/>
          <w:bCs/>
          <w:sz w:val="22"/>
          <w:szCs w:val="22"/>
        </w:rPr>
        <w:t>Program rekomendowany Program Wzmacniania Rodziny</w:t>
      </w:r>
      <w:r w:rsidR="00575072">
        <w:rPr>
          <w:rFonts w:cs="Arial"/>
          <w:bCs/>
          <w:sz w:val="22"/>
          <w:szCs w:val="22"/>
        </w:rPr>
        <w:t>;</w:t>
      </w:r>
    </w:p>
    <w:p w14:paraId="5C09701D" w14:textId="4450E2DE" w:rsidR="00955250" w:rsidRPr="005952CC" w:rsidRDefault="00955250" w:rsidP="0022273E">
      <w:pPr>
        <w:pStyle w:val="Akapitzlist"/>
        <w:numPr>
          <w:ilvl w:val="2"/>
          <w:numId w:val="55"/>
        </w:numPr>
        <w:spacing w:after="0" w:line="360" w:lineRule="auto"/>
        <w:ind w:left="709"/>
        <w:jc w:val="both"/>
        <w:rPr>
          <w:rFonts w:cs="Arial"/>
          <w:bCs/>
          <w:sz w:val="22"/>
          <w:szCs w:val="22"/>
        </w:rPr>
      </w:pPr>
      <w:r w:rsidRPr="005952CC">
        <w:rPr>
          <w:rFonts w:cs="Arial"/>
          <w:bCs/>
          <w:sz w:val="22"/>
          <w:szCs w:val="22"/>
        </w:rPr>
        <w:t>Program rekomendowany Środowiskowa Profilaktyka Uzależnień</w:t>
      </w:r>
      <w:r w:rsidR="00575072">
        <w:rPr>
          <w:rFonts w:cs="Arial"/>
          <w:bCs/>
          <w:sz w:val="22"/>
          <w:szCs w:val="22"/>
        </w:rPr>
        <w:t>;</w:t>
      </w:r>
    </w:p>
    <w:p w14:paraId="711EF9AD" w14:textId="49C17B53" w:rsidR="00955250" w:rsidRPr="005952CC" w:rsidRDefault="00955250" w:rsidP="0022273E">
      <w:pPr>
        <w:pStyle w:val="Akapitzlist"/>
        <w:numPr>
          <w:ilvl w:val="2"/>
          <w:numId w:val="55"/>
        </w:numPr>
        <w:spacing w:after="0" w:line="360" w:lineRule="auto"/>
        <w:ind w:left="709"/>
        <w:jc w:val="both"/>
        <w:rPr>
          <w:rFonts w:cs="Arial"/>
          <w:bCs/>
          <w:sz w:val="22"/>
          <w:szCs w:val="22"/>
        </w:rPr>
      </w:pPr>
      <w:r w:rsidRPr="005952CC">
        <w:rPr>
          <w:rFonts w:cs="Arial"/>
          <w:bCs/>
          <w:sz w:val="22"/>
          <w:szCs w:val="22"/>
        </w:rPr>
        <w:t>Edukacja uczniów szkół średnich</w:t>
      </w:r>
      <w:r w:rsidR="00575072">
        <w:rPr>
          <w:rFonts w:cs="Arial"/>
          <w:bCs/>
          <w:sz w:val="22"/>
          <w:szCs w:val="22"/>
        </w:rPr>
        <w:t>;</w:t>
      </w:r>
    </w:p>
    <w:p w14:paraId="4C5D4653" w14:textId="05581512" w:rsidR="00955250" w:rsidRPr="005952CC" w:rsidRDefault="00955250" w:rsidP="0022273E">
      <w:pPr>
        <w:pStyle w:val="Akapitzlist"/>
        <w:numPr>
          <w:ilvl w:val="2"/>
          <w:numId w:val="55"/>
        </w:numPr>
        <w:spacing w:after="0" w:line="360" w:lineRule="auto"/>
        <w:ind w:left="709"/>
        <w:jc w:val="both"/>
        <w:rPr>
          <w:rFonts w:cs="Arial"/>
          <w:bCs/>
          <w:sz w:val="22"/>
          <w:szCs w:val="22"/>
        </w:rPr>
      </w:pPr>
      <w:r w:rsidRPr="005952CC">
        <w:rPr>
          <w:rFonts w:cs="Arial"/>
          <w:bCs/>
          <w:sz w:val="22"/>
          <w:szCs w:val="22"/>
        </w:rPr>
        <w:t>Przeciwdziałanie uzależnieniu od leków.</w:t>
      </w:r>
    </w:p>
    <w:p w14:paraId="437AF668" w14:textId="77777777" w:rsidR="00955250" w:rsidRPr="005952CC" w:rsidRDefault="00955250" w:rsidP="00955250">
      <w:pPr>
        <w:spacing w:after="0" w:line="360" w:lineRule="auto"/>
        <w:ind w:firstLine="425"/>
        <w:jc w:val="both"/>
        <w:rPr>
          <w:rFonts w:cs="Arial"/>
          <w:sz w:val="22"/>
          <w:szCs w:val="22"/>
        </w:rPr>
      </w:pPr>
      <w:r w:rsidRPr="005952CC">
        <w:rPr>
          <w:rFonts w:cs="Arial"/>
          <w:sz w:val="22"/>
          <w:szCs w:val="22"/>
        </w:rPr>
        <w:t>Programy profilaktyczne w zakresie profilaktyki selektywnej i wskazującej skierowane do osób zagrożonych uzależnieniem, uzależnionych i ich rodzin, realizuje także Ośrodek Leczenia Uzależnień Samodzielny Publiczny Zakład Opieki Zdrowotnej w Lublinie. Są to: program rekomendowany „Fred Goes Net” i program o potwierdzonej skuteczności CANDIS.</w:t>
      </w:r>
    </w:p>
    <w:p w14:paraId="5F4BCCB8" w14:textId="520119DC" w:rsidR="00955250" w:rsidRPr="005952CC" w:rsidRDefault="00955250" w:rsidP="00955250">
      <w:pPr>
        <w:spacing w:after="0" w:line="360" w:lineRule="auto"/>
        <w:ind w:firstLine="425"/>
        <w:jc w:val="both"/>
        <w:rPr>
          <w:rFonts w:cs="Arial"/>
          <w:sz w:val="22"/>
          <w:szCs w:val="22"/>
        </w:rPr>
      </w:pPr>
      <w:r w:rsidRPr="005952CC">
        <w:rPr>
          <w:rFonts w:cs="Arial"/>
          <w:sz w:val="22"/>
          <w:szCs w:val="22"/>
        </w:rPr>
        <w:t>Readaptację dla osób dorosłych prowadzi Stowarzyszenie MONAR Ośrodek Leczenia, Terapii i Rehabilitacji Uzależnień w Majdanie Kozic Dolnych. W roku 2023 w Ośrodku przyjęto łącznie 61 osób, w tym 12 kobiet i 49 mężczyzn. Najwięcej osób było w wieku 25-29 lat (22) i</w:t>
      </w:r>
      <w:r>
        <w:rPr>
          <w:rFonts w:cs="Arial"/>
          <w:sz w:val="22"/>
          <w:szCs w:val="22"/>
        </w:rPr>
        <w:t> </w:t>
      </w:r>
      <w:r w:rsidRPr="005952CC">
        <w:rPr>
          <w:rFonts w:cs="Arial"/>
          <w:sz w:val="22"/>
          <w:szCs w:val="22"/>
        </w:rPr>
        <w:t xml:space="preserve">35-39 </w:t>
      </w:r>
      <w:r w:rsidR="00575072">
        <w:rPr>
          <w:rFonts w:cs="Arial"/>
          <w:sz w:val="22"/>
          <w:szCs w:val="22"/>
        </w:rPr>
        <w:t xml:space="preserve">lat </w:t>
      </w:r>
      <w:r w:rsidRPr="005952CC">
        <w:rPr>
          <w:rFonts w:cs="Arial"/>
          <w:sz w:val="22"/>
          <w:szCs w:val="22"/>
        </w:rPr>
        <w:t xml:space="preserve">(15) oraz 19-24 lata (14) </w:t>
      </w:r>
      <w:r w:rsidR="00575072">
        <w:rPr>
          <w:rFonts w:cs="Arial"/>
          <w:sz w:val="22"/>
          <w:szCs w:val="22"/>
        </w:rPr>
        <w:t xml:space="preserve">i </w:t>
      </w:r>
      <w:r w:rsidRPr="005952CC">
        <w:rPr>
          <w:rFonts w:cs="Arial"/>
          <w:sz w:val="22"/>
          <w:szCs w:val="22"/>
        </w:rPr>
        <w:t>40-44 lata (12). To kolejny rok, kiedy wiek osób przebywających w Ośrodku obniżył się.</w:t>
      </w:r>
    </w:p>
    <w:p w14:paraId="79F99FFB" w14:textId="77777777" w:rsidR="00955250" w:rsidRPr="005952CC" w:rsidRDefault="00955250" w:rsidP="00955250">
      <w:pPr>
        <w:spacing w:after="0" w:line="360" w:lineRule="auto"/>
        <w:ind w:firstLine="425"/>
        <w:jc w:val="both"/>
        <w:rPr>
          <w:rFonts w:cs="Arial"/>
          <w:sz w:val="22"/>
          <w:szCs w:val="22"/>
        </w:rPr>
      </w:pPr>
      <w:r w:rsidRPr="005952CC">
        <w:rPr>
          <w:rFonts w:cs="Arial"/>
          <w:sz w:val="22"/>
          <w:szCs w:val="22"/>
        </w:rPr>
        <w:t xml:space="preserve">Natomiast Stowarzyszenie MONAR Poradnia Profilaktyki, Leczenia i Terapii Uzależnień w Lublinie realizowało w 2023 r. programy </w:t>
      </w:r>
      <w:proofErr w:type="spellStart"/>
      <w:r w:rsidRPr="005952CC">
        <w:rPr>
          <w:rFonts w:cs="Arial"/>
          <w:sz w:val="22"/>
          <w:szCs w:val="22"/>
        </w:rPr>
        <w:t>postrehabilitacyjne</w:t>
      </w:r>
      <w:proofErr w:type="spellEnd"/>
      <w:r w:rsidRPr="005952CC">
        <w:rPr>
          <w:rFonts w:cs="Arial"/>
          <w:sz w:val="22"/>
          <w:szCs w:val="22"/>
        </w:rPr>
        <w:t xml:space="preserve"> umożliwiające powrót do pełnienia ról społecznych dla osób uzależnionych od narkotyków po ukończonym procesie leczenia lub osób, które nie ukończyły terapii lecz utrzymują abstynencję. Realizowano również program reintegracji społeczno-zawodowej skierowany do kobiet w ciąży oraz matek dzieci do lat 6.</w:t>
      </w:r>
    </w:p>
    <w:p w14:paraId="787B6B06" w14:textId="2442D4B1" w:rsidR="00955250" w:rsidRPr="005952CC" w:rsidRDefault="00955250" w:rsidP="00955250">
      <w:pPr>
        <w:spacing w:after="0" w:line="360" w:lineRule="auto"/>
        <w:ind w:firstLine="425"/>
        <w:jc w:val="both"/>
        <w:rPr>
          <w:rFonts w:cs="Arial"/>
          <w:sz w:val="22"/>
          <w:szCs w:val="22"/>
        </w:rPr>
      </w:pPr>
      <w:r w:rsidRPr="005952CC">
        <w:rPr>
          <w:rFonts w:cs="Arial"/>
          <w:sz w:val="22"/>
          <w:szCs w:val="22"/>
        </w:rPr>
        <w:t xml:space="preserve">Readaptację dzieci </w:t>
      </w:r>
      <w:r w:rsidR="00575072">
        <w:rPr>
          <w:rFonts w:cs="Arial"/>
          <w:sz w:val="22"/>
          <w:szCs w:val="22"/>
        </w:rPr>
        <w:t xml:space="preserve">i </w:t>
      </w:r>
      <w:r w:rsidRPr="005952CC">
        <w:rPr>
          <w:rFonts w:cs="Arial"/>
          <w:sz w:val="22"/>
          <w:szCs w:val="22"/>
        </w:rPr>
        <w:t xml:space="preserve">młodzieży prowadzi Towarzystwo Rodzin i Przyjaciół Dzieci Uzależnionych „Powrót z U” w </w:t>
      </w:r>
      <w:proofErr w:type="spellStart"/>
      <w:r w:rsidRPr="005952CC">
        <w:rPr>
          <w:rFonts w:cs="Arial"/>
          <w:sz w:val="22"/>
          <w:szCs w:val="22"/>
        </w:rPr>
        <w:t>Albrechtówce</w:t>
      </w:r>
      <w:proofErr w:type="spellEnd"/>
      <w:r w:rsidRPr="005952CC">
        <w:rPr>
          <w:rFonts w:cs="Arial"/>
          <w:sz w:val="22"/>
          <w:szCs w:val="22"/>
        </w:rPr>
        <w:t>.</w:t>
      </w:r>
    </w:p>
    <w:p w14:paraId="05F53079" w14:textId="77777777" w:rsidR="00955250" w:rsidRPr="00317DE2" w:rsidRDefault="00955250" w:rsidP="001676E4">
      <w:pPr>
        <w:spacing w:after="0" w:line="360" w:lineRule="auto"/>
        <w:ind w:firstLine="425"/>
        <w:jc w:val="both"/>
        <w:rPr>
          <w:rFonts w:cs="Arial"/>
          <w:sz w:val="22"/>
          <w:szCs w:val="22"/>
        </w:rPr>
      </w:pPr>
    </w:p>
    <w:p w14:paraId="186E400B" w14:textId="77777777" w:rsidR="001676E4" w:rsidRDefault="001676E4" w:rsidP="001676E4">
      <w:pPr>
        <w:spacing w:after="160" w:line="259" w:lineRule="auto"/>
        <w:rPr>
          <w:rFonts w:cs="Arial"/>
          <w:b/>
          <w:bCs/>
          <w:iCs/>
          <w:sz w:val="22"/>
          <w:szCs w:val="22"/>
        </w:rPr>
      </w:pPr>
      <w:bookmarkStart w:id="97" w:name="_Toc86751682"/>
      <w:bookmarkEnd w:id="95"/>
      <w:r>
        <w:br w:type="page"/>
      </w:r>
    </w:p>
    <w:p w14:paraId="589B9C05" w14:textId="77777777" w:rsidR="001676E4" w:rsidRPr="00317DE2" w:rsidRDefault="001676E4" w:rsidP="00A43860">
      <w:pPr>
        <w:pStyle w:val="Nagwek1"/>
      </w:pPr>
      <w:bookmarkStart w:id="98" w:name="_Toc214277568"/>
      <w:r w:rsidRPr="00317DE2">
        <w:lastRenderedPageBreak/>
        <w:t>Diagnoza w zakresie uzależnień behawioraln</w:t>
      </w:r>
      <w:bookmarkEnd w:id="97"/>
      <w:r w:rsidRPr="00317DE2">
        <w:t>ych</w:t>
      </w:r>
      <w:bookmarkEnd w:id="98"/>
    </w:p>
    <w:p w14:paraId="4BEF7229" w14:textId="77777777" w:rsidR="001676E4" w:rsidRPr="00317DE2" w:rsidRDefault="001676E4" w:rsidP="00B11CBB">
      <w:pPr>
        <w:pStyle w:val="Nagwek2"/>
        <w:rPr>
          <w:rFonts w:eastAsia="Calibri"/>
        </w:rPr>
      </w:pPr>
      <w:bookmarkStart w:id="99" w:name="_Toc214277569"/>
      <w:r w:rsidRPr="00317DE2">
        <w:rPr>
          <w:rFonts w:eastAsia="Calibri"/>
        </w:rPr>
        <w:t>Zadania jednostek samorządu terytorialnego w zakresie uzależnień behawioralnych.</w:t>
      </w:r>
      <w:bookmarkEnd w:id="99"/>
    </w:p>
    <w:p w14:paraId="3BFB69DC" w14:textId="58A103B9" w:rsidR="001676E4" w:rsidRPr="005952CC" w:rsidRDefault="001676E4" w:rsidP="001676E4">
      <w:pPr>
        <w:spacing w:after="0" w:line="360" w:lineRule="auto"/>
        <w:ind w:firstLine="357"/>
        <w:jc w:val="both"/>
        <w:rPr>
          <w:rFonts w:eastAsia="Calibri" w:cs="Arial"/>
          <w:sz w:val="22"/>
          <w:szCs w:val="22"/>
        </w:rPr>
      </w:pPr>
      <w:r w:rsidRPr="00317DE2">
        <w:rPr>
          <w:rFonts w:eastAsia="Calibri" w:cs="Arial"/>
          <w:sz w:val="22"/>
          <w:szCs w:val="22"/>
        </w:rPr>
        <w:t>Ustawa z dnia 17 grudnia 2021 r</w:t>
      </w:r>
      <w:r w:rsidR="00575072">
        <w:rPr>
          <w:rFonts w:eastAsia="Calibri" w:cs="Arial"/>
          <w:sz w:val="22"/>
          <w:szCs w:val="22"/>
        </w:rPr>
        <w:t>oku</w:t>
      </w:r>
      <w:r w:rsidRPr="00317DE2">
        <w:rPr>
          <w:rFonts w:eastAsia="Calibri" w:cs="Arial"/>
          <w:sz w:val="22"/>
          <w:szCs w:val="22"/>
        </w:rPr>
        <w:t xml:space="preserve"> o zmianie ustawy o zdrowiu publicznym oraz niektórych innych ustaw wprowadziła do programów profilaktyki i rozwiązywania problemów alkoholowych oraz przeciwdziałania narkomanii zadania dotyczące przeciwdziałania uzależnieniom </w:t>
      </w:r>
      <w:r w:rsidRPr="005952CC">
        <w:rPr>
          <w:rFonts w:eastAsia="Calibri" w:cs="Arial"/>
          <w:sz w:val="22"/>
          <w:szCs w:val="22"/>
        </w:rPr>
        <w:t>behawioralnym. Zadania jednost</w:t>
      </w:r>
      <w:r w:rsidR="002E4823">
        <w:rPr>
          <w:rFonts w:eastAsia="Calibri" w:cs="Arial"/>
          <w:sz w:val="22"/>
          <w:szCs w:val="22"/>
        </w:rPr>
        <w:t>ek</w:t>
      </w:r>
      <w:r w:rsidRPr="005952CC">
        <w:rPr>
          <w:rFonts w:eastAsia="Calibri" w:cs="Arial"/>
          <w:sz w:val="22"/>
          <w:szCs w:val="22"/>
        </w:rPr>
        <w:t xml:space="preserve"> samorządu terytorialnego obejmują upowszechnianie wiedzy dotyczącej problematyki uzależnień behawioralnych, m.in. wydawanie materiałów informacyjno-edukacyjnych czy też prowadzenie kampanii społecznych oraz prowadzenie działalności szkoleniowej w tym zakresie.</w:t>
      </w:r>
    </w:p>
    <w:p w14:paraId="3718E408" w14:textId="77777777" w:rsidR="001676E4" w:rsidRPr="00317DE2" w:rsidRDefault="001676E4" w:rsidP="00A43860">
      <w:pPr>
        <w:pStyle w:val="Nagwek3"/>
        <w:rPr>
          <w:rFonts w:eastAsia="Calibri"/>
        </w:rPr>
      </w:pPr>
      <w:r w:rsidRPr="00317DE2">
        <w:rPr>
          <w:rFonts w:eastAsia="Calibri"/>
        </w:rPr>
        <w:t xml:space="preserve">Działania </w:t>
      </w:r>
      <w:r w:rsidRPr="00A43860">
        <w:rPr>
          <w:rFonts w:eastAsia="Calibri"/>
        </w:rPr>
        <w:t>edukacyjne</w:t>
      </w:r>
    </w:p>
    <w:p w14:paraId="50F0C8D8" w14:textId="2A4BEC13" w:rsidR="001676E4" w:rsidRPr="00317DE2" w:rsidRDefault="001676E4" w:rsidP="001676E4">
      <w:pPr>
        <w:spacing w:after="0" w:line="360" w:lineRule="auto"/>
        <w:ind w:firstLine="284"/>
        <w:jc w:val="both"/>
        <w:rPr>
          <w:rFonts w:eastAsia="Calibri" w:cs="Arial"/>
          <w:sz w:val="22"/>
          <w:szCs w:val="22"/>
        </w:rPr>
      </w:pPr>
      <w:r w:rsidRPr="00317DE2">
        <w:rPr>
          <w:rFonts w:eastAsia="Calibri" w:cs="Arial"/>
          <w:sz w:val="22"/>
          <w:szCs w:val="22"/>
        </w:rPr>
        <w:t>Edukacja prowadzona przez samorządy powinna koncentrować się przede wszystkim wokół zmiany postaw społecznych związanych z problemem uzależnień behawioralnych</w:t>
      </w:r>
      <w:r w:rsidRPr="00317DE2">
        <w:rPr>
          <w:rFonts w:eastAsia="Calibri" w:cs="Arial"/>
          <w:sz w:val="22"/>
          <w:szCs w:val="22"/>
        </w:rPr>
        <w:br/>
        <w:t xml:space="preserve">i obalania mitów dotyczących leczenia i terapii osób uzależnionych. Funkcjonujący </w:t>
      </w:r>
      <w:r w:rsidRPr="00317DE2">
        <w:rPr>
          <w:rFonts w:eastAsia="Calibri" w:cs="Arial"/>
          <w:sz w:val="22"/>
          <w:szCs w:val="22"/>
        </w:rPr>
        <w:br/>
        <w:t>w społeczeństwie obraz uzależnień behawioralnych</w:t>
      </w:r>
      <w:r w:rsidRPr="00317DE2">
        <w:rPr>
          <w:rStyle w:val="Odwoanieprzypisudolnego"/>
          <w:rFonts w:eastAsia="Calibri" w:cs="Arial"/>
          <w:sz w:val="22"/>
          <w:szCs w:val="22"/>
        </w:rPr>
        <w:footnoteReference w:id="45"/>
      </w:r>
      <w:r w:rsidR="00575072">
        <w:rPr>
          <w:rFonts w:eastAsia="Calibri" w:cs="Arial"/>
          <w:sz w:val="22"/>
          <w:szCs w:val="22"/>
        </w:rPr>
        <w:t xml:space="preserve"> </w:t>
      </w:r>
      <w:r w:rsidRPr="00317DE2">
        <w:rPr>
          <w:rFonts w:eastAsia="Calibri" w:cs="Arial"/>
          <w:sz w:val="22"/>
          <w:szCs w:val="22"/>
        </w:rPr>
        <w:t xml:space="preserve">w dużym stopniu oparty był na stereotypach. Hazard postrzegano jako „rozrywkę dla bogatych”, a hazardzistę jako człowieka zamożnego, o słabym charakterze, a przy tym szukającego silnych wrażeń. W odczuciu społecznym tzw. zakupoholizm to przypadłość przede wszystkim zamożnych, niepracujących kobiet, rozrzutnych, mających słaby charakter, a przy tym próżnych i lekkomyślnych. Uzależnieni od </w:t>
      </w:r>
      <w:proofErr w:type="spellStart"/>
      <w:r w:rsidRPr="00317DE2">
        <w:rPr>
          <w:rFonts w:eastAsia="Calibri" w:cs="Arial"/>
          <w:sz w:val="22"/>
          <w:szCs w:val="22"/>
        </w:rPr>
        <w:t>internetu</w:t>
      </w:r>
      <w:proofErr w:type="spellEnd"/>
      <w:r w:rsidRPr="00317DE2">
        <w:rPr>
          <w:rFonts w:eastAsia="Calibri" w:cs="Arial"/>
          <w:sz w:val="22"/>
          <w:szCs w:val="22"/>
        </w:rPr>
        <w:t xml:space="preserve"> to przede wszystkim ludzie młodzi, bez obowiązków, realizujący za pośrednictwem </w:t>
      </w:r>
      <w:proofErr w:type="spellStart"/>
      <w:r w:rsidRPr="00317DE2">
        <w:rPr>
          <w:rFonts w:eastAsia="Calibri" w:cs="Arial"/>
          <w:sz w:val="22"/>
          <w:szCs w:val="22"/>
        </w:rPr>
        <w:t>internetu</w:t>
      </w:r>
      <w:proofErr w:type="spellEnd"/>
      <w:r w:rsidRPr="00317DE2">
        <w:rPr>
          <w:rFonts w:eastAsia="Calibri" w:cs="Arial"/>
          <w:sz w:val="22"/>
          <w:szCs w:val="22"/>
        </w:rPr>
        <w:t xml:space="preserve"> swoją potrzebę kontaktów społecznych. Jeśli chodzi o uzależnienie od pracy, część badanych wskazywała, że praca jako uzależnienie jest w ogóle trudna do zaakceptowania i poddawali w wątpliwość istnienie takiego zjawiska; odnotowano raczej aprobatę dla osób poświęcających się pracy. Brak postrzegania uzależnień behawioralnych </w:t>
      </w:r>
      <w:r w:rsidRPr="00317DE2">
        <w:rPr>
          <w:rFonts w:eastAsia="Calibri" w:cs="Arial"/>
          <w:sz w:val="22"/>
          <w:szCs w:val="22"/>
        </w:rPr>
        <w:br/>
        <w:t>w kategoriach problemów wymagających pomocy korespondował z negatywnymi opiniami badanych na temat ewentualnego leczenia tego rodzaju zaburzeń ze środków publicznych. Społeczeństwo chętniej zgadza się na finasowanie terapii osób uzależnionych od alkoholu</w:t>
      </w:r>
      <w:r w:rsidRPr="00317DE2">
        <w:rPr>
          <w:rFonts w:eastAsia="Calibri" w:cs="Arial"/>
          <w:sz w:val="22"/>
          <w:szCs w:val="22"/>
        </w:rPr>
        <w:br/>
        <w:t xml:space="preserve">i narkotyków niż od czynności.  </w:t>
      </w:r>
    </w:p>
    <w:p w14:paraId="3ACCEAAD" w14:textId="4CB48CD6" w:rsidR="001676E4" w:rsidRPr="00317DE2" w:rsidRDefault="001676E4" w:rsidP="00A43860">
      <w:pPr>
        <w:pStyle w:val="Nagwek3"/>
        <w:rPr>
          <w:rFonts w:eastAsia="Calibri"/>
        </w:rPr>
      </w:pPr>
      <w:bookmarkStart w:id="100" w:name="_Hlk106882200"/>
      <w:bookmarkStart w:id="101" w:name="_Toc214277570"/>
      <w:r w:rsidRPr="00317DE2">
        <w:rPr>
          <w:rFonts w:eastAsia="Calibri"/>
        </w:rPr>
        <w:lastRenderedPageBreak/>
        <w:t xml:space="preserve">Diagnoza </w:t>
      </w:r>
      <w:r w:rsidRPr="00A43860">
        <w:rPr>
          <w:rFonts w:eastAsia="Calibri"/>
        </w:rPr>
        <w:t>wybranych</w:t>
      </w:r>
      <w:r w:rsidRPr="00317DE2">
        <w:rPr>
          <w:rFonts w:eastAsia="Calibri"/>
        </w:rPr>
        <w:t xml:space="preserve"> rodzajów uzależnień behawioralnych</w:t>
      </w:r>
      <w:bookmarkEnd w:id="100"/>
      <w:r w:rsidR="00851D75">
        <w:rPr>
          <w:rFonts w:eastAsia="Calibri"/>
        </w:rPr>
        <w:t xml:space="preserve"> wśród młodzieży</w:t>
      </w:r>
      <w:bookmarkEnd w:id="101"/>
    </w:p>
    <w:p w14:paraId="6253B9A0" w14:textId="77777777" w:rsidR="001676E4" w:rsidRPr="00A43860" w:rsidRDefault="001676E4" w:rsidP="00A43860">
      <w:pPr>
        <w:ind w:left="567"/>
        <w:rPr>
          <w:b/>
          <w:bCs/>
          <w:sz w:val="22"/>
          <w:szCs w:val="18"/>
        </w:rPr>
      </w:pPr>
      <w:r w:rsidRPr="00A43860">
        <w:rPr>
          <w:b/>
          <w:bCs/>
          <w:sz w:val="22"/>
          <w:szCs w:val="18"/>
        </w:rPr>
        <w:t>Gry hazardowe</w:t>
      </w:r>
    </w:p>
    <w:p w14:paraId="4105139B" w14:textId="77777777" w:rsidR="001676E4" w:rsidRPr="00317DE2" w:rsidRDefault="001676E4" w:rsidP="001676E4">
      <w:pPr>
        <w:pStyle w:val="Tekstpodstawowy"/>
        <w:spacing w:line="360" w:lineRule="auto"/>
        <w:ind w:firstLine="708"/>
        <w:jc w:val="both"/>
        <w:rPr>
          <w:rFonts w:ascii="Arial" w:hAnsi="Arial" w:cs="Arial"/>
          <w:sz w:val="22"/>
          <w:szCs w:val="22"/>
        </w:rPr>
      </w:pPr>
      <w:r w:rsidRPr="00317DE2">
        <w:rPr>
          <w:rFonts w:ascii="Arial" w:hAnsi="Arial" w:cs="Arial"/>
          <w:sz w:val="22"/>
          <w:szCs w:val="22"/>
        </w:rPr>
        <w:t xml:space="preserve">Sektor gier i zakładów wzajemnych w Polsce obejmuje takie formy działalności jak: loterie pieniężne, gry liczbowe, zakłady wzajemne, salony gry bingo, kasyna, salony gry na automatach, punkty gry na automatach o niskich wygranych. Gry hazardowe uprawiać można w </w:t>
      </w:r>
      <w:proofErr w:type="spellStart"/>
      <w:r w:rsidRPr="00317DE2">
        <w:rPr>
          <w:rFonts w:ascii="Arial" w:hAnsi="Arial" w:cs="Arial"/>
          <w:sz w:val="22"/>
          <w:szCs w:val="22"/>
        </w:rPr>
        <w:t>internecie</w:t>
      </w:r>
      <w:proofErr w:type="spellEnd"/>
      <w:r w:rsidRPr="00317DE2">
        <w:rPr>
          <w:rFonts w:ascii="Arial" w:hAnsi="Arial" w:cs="Arial"/>
          <w:sz w:val="22"/>
          <w:szCs w:val="22"/>
        </w:rPr>
        <w:t xml:space="preserve"> oraz poprzez uczestnictwo w loteriach SMS. </w:t>
      </w:r>
    </w:p>
    <w:p w14:paraId="7ACDEB09" w14:textId="77777777" w:rsidR="001676E4" w:rsidRPr="00317DE2" w:rsidRDefault="001676E4" w:rsidP="001676E4">
      <w:pPr>
        <w:pStyle w:val="Tekstpodstawowy"/>
        <w:spacing w:line="360" w:lineRule="auto"/>
        <w:ind w:firstLine="708"/>
        <w:jc w:val="both"/>
        <w:rPr>
          <w:rFonts w:ascii="Arial" w:hAnsi="Arial" w:cs="Arial"/>
          <w:sz w:val="22"/>
          <w:szCs w:val="22"/>
        </w:rPr>
      </w:pPr>
      <w:r w:rsidRPr="00317DE2">
        <w:rPr>
          <w:rFonts w:ascii="Arial" w:hAnsi="Arial" w:cs="Arial"/>
          <w:sz w:val="22"/>
          <w:szCs w:val="22"/>
        </w:rPr>
        <w:t xml:space="preserve">W porównaniu do innych problemów społecznych, hazardowi i problemom z nim związanych poświęca się niewiele uwagi w debacie publicznej. Hazard patologiczny, czyli uzależnienie od gier, w powszechnej opinii uznawane jest za stosunkowo marginalne zjawisko dotyczące niewielkiej liczby dorosłych mężczyzn. Hazard problemowy i patologiczny prowadzi do różnego rodzaju problemów zarówno u samych graczy, jak i u ich rodzin oraz najbliższego środowiska społecznego. </w:t>
      </w:r>
    </w:p>
    <w:p w14:paraId="48BEAE48" w14:textId="198ED2CE" w:rsidR="001676E4" w:rsidRPr="00317DE2" w:rsidRDefault="001676E4" w:rsidP="00575072">
      <w:pPr>
        <w:pStyle w:val="Tekstpodstawowy"/>
        <w:spacing w:line="360" w:lineRule="auto"/>
        <w:ind w:firstLine="708"/>
        <w:jc w:val="both"/>
        <w:rPr>
          <w:rFonts w:ascii="Arial" w:hAnsi="Arial" w:cs="Arial"/>
          <w:sz w:val="22"/>
          <w:szCs w:val="22"/>
        </w:rPr>
      </w:pPr>
      <w:r w:rsidRPr="00317DE2">
        <w:rPr>
          <w:rFonts w:ascii="Arial" w:hAnsi="Arial" w:cs="Arial"/>
          <w:sz w:val="22"/>
          <w:szCs w:val="22"/>
        </w:rPr>
        <w:t xml:space="preserve">Dane z tabeli </w:t>
      </w:r>
      <w:r>
        <w:rPr>
          <w:rFonts w:ascii="Arial" w:hAnsi="Arial" w:cs="Arial"/>
          <w:sz w:val="22"/>
          <w:szCs w:val="22"/>
        </w:rPr>
        <w:t>2</w:t>
      </w:r>
      <w:r w:rsidR="00575072">
        <w:rPr>
          <w:rFonts w:ascii="Arial" w:hAnsi="Arial" w:cs="Arial"/>
          <w:sz w:val="22"/>
          <w:szCs w:val="22"/>
        </w:rPr>
        <w:t>1</w:t>
      </w:r>
      <w:r w:rsidRPr="00317DE2">
        <w:rPr>
          <w:rFonts w:ascii="Arial" w:hAnsi="Arial" w:cs="Arial"/>
          <w:sz w:val="22"/>
          <w:szCs w:val="22"/>
        </w:rPr>
        <w:t xml:space="preserve"> sugerują, że 26,8% młodzieży młodszej i 31,1% młodzieży starszej ma za sobą doświadczenie gry na pieniądze kiedykolwiek w życiu. W czasie ostatnich 30 dni przed badaniem uczestniczyło w grach hazardowych 12,1% młodszych i 18% uczniów starszych. </w:t>
      </w:r>
    </w:p>
    <w:p w14:paraId="5630DD4B" w14:textId="77777777" w:rsidR="001676E4" w:rsidRPr="00317DE2" w:rsidRDefault="001676E4" w:rsidP="001676E4">
      <w:pPr>
        <w:pStyle w:val="Tekstpodstawowy"/>
        <w:spacing w:line="360" w:lineRule="auto"/>
        <w:ind w:firstLine="708"/>
        <w:jc w:val="both"/>
        <w:rPr>
          <w:rFonts w:ascii="Arial" w:hAnsi="Arial" w:cs="Arial"/>
          <w:sz w:val="22"/>
          <w:szCs w:val="22"/>
        </w:rPr>
      </w:pPr>
      <w:r w:rsidRPr="00317DE2">
        <w:rPr>
          <w:rFonts w:ascii="Arial" w:hAnsi="Arial" w:cs="Arial"/>
          <w:sz w:val="22"/>
          <w:szCs w:val="22"/>
        </w:rPr>
        <w:t>Porównanie wyników uzyskanych w województwie lubelskim z wynikami w całym kraju pokazuje prawie identyczne odsetki badanych, którzy mają za sobą doświadczenia grania na pieniądze. Wg wyników młodzież z województwa lubelskiego nieznacznie częściej gra w gry hazardowe niż ich rówieśnicy w Polsce.</w:t>
      </w:r>
    </w:p>
    <w:p w14:paraId="2BA6579F" w14:textId="6BEA37DE" w:rsidR="001676E4" w:rsidRPr="00A43860" w:rsidRDefault="001676E4" w:rsidP="001676E4">
      <w:pPr>
        <w:pStyle w:val="Legenda"/>
        <w:keepNext/>
        <w:rPr>
          <w:sz w:val="20"/>
          <w:szCs w:val="16"/>
        </w:rPr>
      </w:pPr>
      <w:bookmarkStart w:id="102" w:name="_Toc214279706"/>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21</w:t>
      </w:r>
      <w:r w:rsidRPr="00A43860">
        <w:rPr>
          <w:sz w:val="20"/>
          <w:szCs w:val="16"/>
        </w:rPr>
        <w:fldChar w:fldCharType="end"/>
      </w:r>
      <w:r w:rsidRPr="00A43860">
        <w:rPr>
          <w:sz w:val="20"/>
          <w:szCs w:val="16"/>
        </w:rPr>
        <w:t>. Granie w gry hazardowe, tj. takie gdzie stawia się pieniądze i można je wygrać Wyniki badań ESPAD 2024</w:t>
      </w:r>
      <w:bookmarkEnd w:id="102"/>
    </w:p>
    <w:tbl>
      <w:tblPr>
        <w:tblW w:w="92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985"/>
        <w:gridCol w:w="4394"/>
        <w:gridCol w:w="1418"/>
        <w:gridCol w:w="1417"/>
      </w:tblGrid>
      <w:tr w:rsidR="001676E4" w:rsidRPr="00C04258" w14:paraId="64C38918" w14:textId="77777777" w:rsidTr="003D66E5">
        <w:trPr>
          <w:trHeight w:val="486"/>
        </w:trPr>
        <w:tc>
          <w:tcPr>
            <w:tcW w:w="198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77C2C48" w14:textId="77777777" w:rsidR="001676E4" w:rsidRPr="00C04258" w:rsidRDefault="001676E4" w:rsidP="003D66E5">
            <w:pPr>
              <w:widowControl w:val="0"/>
              <w:autoSpaceDE w:val="0"/>
              <w:autoSpaceDN w:val="0"/>
              <w:adjustRightInd w:val="0"/>
              <w:spacing w:after="0" w:line="240" w:lineRule="auto"/>
              <w:jc w:val="center"/>
              <w:rPr>
                <w:rFonts w:cs="Arial"/>
                <w:b/>
                <w:bCs/>
                <w:color w:val="000000"/>
                <w:sz w:val="18"/>
                <w:szCs w:val="18"/>
              </w:rPr>
            </w:pPr>
            <w:r w:rsidRPr="00C04258">
              <w:rPr>
                <w:rFonts w:cs="Arial"/>
                <w:b/>
                <w:bCs/>
                <w:color w:val="000000"/>
                <w:sz w:val="18"/>
                <w:szCs w:val="18"/>
              </w:rPr>
              <w:t>poziom klasy</w:t>
            </w:r>
          </w:p>
        </w:tc>
        <w:tc>
          <w:tcPr>
            <w:tcW w:w="439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1BB7E80" w14:textId="77777777" w:rsidR="001676E4" w:rsidRPr="00C04258" w:rsidRDefault="001676E4" w:rsidP="003D66E5">
            <w:pPr>
              <w:widowControl w:val="0"/>
              <w:autoSpaceDE w:val="0"/>
              <w:autoSpaceDN w:val="0"/>
              <w:adjustRightInd w:val="0"/>
              <w:spacing w:after="0" w:line="240" w:lineRule="auto"/>
              <w:jc w:val="center"/>
              <w:rPr>
                <w:rFonts w:cs="Arial"/>
                <w:b/>
                <w:bCs/>
                <w:color w:val="000000"/>
                <w:sz w:val="18"/>
                <w:szCs w:val="18"/>
              </w:rPr>
            </w:pPr>
          </w:p>
        </w:tc>
        <w:tc>
          <w:tcPr>
            <w:tcW w:w="1418" w:type="dxa"/>
            <w:tcBorders>
              <w:top w:val="single" w:sz="12" w:space="0" w:color="auto"/>
              <w:bottom w:val="single" w:sz="12" w:space="0" w:color="auto"/>
              <w:right w:val="single" w:sz="12" w:space="0" w:color="auto"/>
            </w:tcBorders>
            <w:shd w:val="clear" w:color="000000" w:fill="FFFFFF"/>
            <w:vAlign w:val="center"/>
          </w:tcPr>
          <w:p w14:paraId="70F0E51D" w14:textId="77777777" w:rsidR="001676E4" w:rsidRPr="00C04258" w:rsidRDefault="001676E4" w:rsidP="003D66E5">
            <w:pPr>
              <w:widowControl w:val="0"/>
              <w:autoSpaceDE w:val="0"/>
              <w:autoSpaceDN w:val="0"/>
              <w:adjustRightInd w:val="0"/>
              <w:spacing w:after="0" w:line="240" w:lineRule="auto"/>
              <w:jc w:val="center"/>
              <w:rPr>
                <w:rFonts w:cs="Arial"/>
                <w:b/>
                <w:bCs/>
                <w:color w:val="000000"/>
                <w:sz w:val="18"/>
                <w:szCs w:val="18"/>
              </w:rPr>
            </w:pPr>
            <w:r w:rsidRPr="00C04258">
              <w:rPr>
                <w:rFonts w:cs="Arial"/>
                <w:b/>
                <w:bCs/>
                <w:color w:val="000000"/>
                <w:sz w:val="18"/>
                <w:szCs w:val="18"/>
              </w:rPr>
              <w:t>Lubelskie</w:t>
            </w:r>
          </w:p>
        </w:tc>
        <w:tc>
          <w:tcPr>
            <w:tcW w:w="1417" w:type="dxa"/>
            <w:tcBorders>
              <w:top w:val="single" w:sz="12" w:space="0" w:color="auto"/>
              <w:bottom w:val="single" w:sz="12" w:space="0" w:color="auto"/>
              <w:right w:val="single" w:sz="12" w:space="0" w:color="auto"/>
            </w:tcBorders>
            <w:shd w:val="clear" w:color="000000" w:fill="FFFFFF"/>
            <w:vAlign w:val="center"/>
          </w:tcPr>
          <w:p w14:paraId="649289F6" w14:textId="77777777" w:rsidR="001676E4" w:rsidRPr="00C04258" w:rsidRDefault="001676E4" w:rsidP="003D66E5">
            <w:pPr>
              <w:widowControl w:val="0"/>
              <w:autoSpaceDE w:val="0"/>
              <w:autoSpaceDN w:val="0"/>
              <w:adjustRightInd w:val="0"/>
              <w:spacing w:after="0" w:line="240" w:lineRule="auto"/>
              <w:jc w:val="center"/>
              <w:rPr>
                <w:rFonts w:cs="Arial"/>
                <w:b/>
                <w:bCs/>
                <w:color w:val="000000"/>
                <w:sz w:val="18"/>
                <w:szCs w:val="18"/>
              </w:rPr>
            </w:pPr>
            <w:r w:rsidRPr="00C04258">
              <w:rPr>
                <w:rFonts w:cs="Arial"/>
                <w:b/>
                <w:bCs/>
                <w:color w:val="000000"/>
                <w:sz w:val="18"/>
                <w:szCs w:val="18"/>
              </w:rPr>
              <w:t>Polska</w:t>
            </w:r>
          </w:p>
        </w:tc>
      </w:tr>
      <w:tr w:rsidR="001676E4" w:rsidRPr="005952CC" w14:paraId="3B47D1FB" w14:textId="77777777" w:rsidTr="003D66E5">
        <w:trPr>
          <w:cantSplit/>
          <w:trHeight w:val="536"/>
        </w:trPr>
        <w:tc>
          <w:tcPr>
            <w:tcW w:w="1985" w:type="dxa"/>
            <w:vMerge w:val="restart"/>
            <w:tcBorders>
              <w:top w:val="single" w:sz="12" w:space="0" w:color="auto"/>
              <w:left w:val="single" w:sz="12" w:space="0" w:color="auto"/>
              <w:right w:val="single" w:sz="12" w:space="0" w:color="auto"/>
            </w:tcBorders>
            <w:shd w:val="clear" w:color="000000" w:fill="FFFFFF"/>
          </w:tcPr>
          <w:p w14:paraId="3C6F38AF"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Młodsza kohorta (15-16 lat)</w:t>
            </w:r>
          </w:p>
        </w:tc>
        <w:tc>
          <w:tcPr>
            <w:tcW w:w="4394" w:type="dxa"/>
            <w:tcBorders>
              <w:top w:val="single" w:sz="12" w:space="0" w:color="auto"/>
              <w:left w:val="single" w:sz="12" w:space="0" w:color="auto"/>
              <w:right w:val="single" w:sz="12" w:space="0" w:color="auto"/>
            </w:tcBorders>
            <w:shd w:val="clear" w:color="000000" w:fill="FFFFFF"/>
            <w:vAlign w:val="center"/>
          </w:tcPr>
          <w:p w14:paraId="11DE58AF"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Kiedykolwiek w życiu</w:t>
            </w:r>
          </w:p>
        </w:tc>
        <w:tc>
          <w:tcPr>
            <w:tcW w:w="1418" w:type="dxa"/>
            <w:tcBorders>
              <w:top w:val="single" w:sz="12" w:space="0" w:color="auto"/>
              <w:right w:val="single" w:sz="12" w:space="0" w:color="auto"/>
            </w:tcBorders>
            <w:shd w:val="clear" w:color="000000" w:fill="FFFFFF"/>
            <w:vAlign w:val="center"/>
          </w:tcPr>
          <w:p w14:paraId="19FCF384" w14:textId="77777777" w:rsidR="001676E4" w:rsidRPr="005952CC" w:rsidRDefault="001676E4" w:rsidP="003D66E5">
            <w:pPr>
              <w:spacing w:after="0" w:line="240" w:lineRule="auto"/>
              <w:jc w:val="right"/>
              <w:rPr>
                <w:rFonts w:cs="Arial"/>
                <w:b/>
                <w:bCs/>
                <w:color w:val="000000"/>
                <w:sz w:val="18"/>
                <w:szCs w:val="18"/>
              </w:rPr>
            </w:pPr>
            <w:r w:rsidRPr="005952CC">
              <w:rPr>
                <w:rFonts w:cs="Arial"/>
                <w:b/>
                <w:bCs/>
                <w:color w:val="000000"/>
                <w:sz w:val="18"/>
                <w:szCs w:val="18"/>
              </w:rPr>
              <w:t>26,8</w:t>
            </w:r>
          </w:p>
        </w:tc>
        <w:tc>
          <w:tcPr>
            <w:tcW w:w="1417" w:type="dxa"/>
            <w:tcBorders>
              <w:top w:val="single" w:sz="12" w:space="0" w:color="auto"/>
              <w:right w:val="single" w:sz="12" w:space="0" w:color="auto"/>
            </w:tcBorders>
            <w:shd w:val="clear" w:color="000000" w:fill="FFFFFF"/>
            <w:vAlign w:val="center"/>
          </w:tcPr>
          <w:p w14:paraId="1816BC70" w14:textId="77777777" w:rsidR="001676E4" w:rsidRPr="005952CC" w:rsidRDefault="001676E4" w:rsidP="003D66E5">
            <w:pPr>
              <w:spacing w:after="0" w:line="240" w:lineRule="auto"/>
              <w:jc w:val="right"/>
              <w:rPr>
                <w:rFonts w:cs="Arial"/>
                <w:b/>
                <w:bCs/>
                <w:color w:val="000000"/>
                <w:sz w:val="18"/>
                <w:szCs w:val="18"/>
              </w:rPr>
            </w:pPr>
            <w:r w:rsidRPr="005952CC">
              <w:rPr>
                <w:rFonts w:cs="Arial"/>
                <w:b/>
                <w:bCs/>
                <w:color w:val="000000"/>
                <w:sz w:val="18"/>
                <w:szCs w:val="18"/>
              </w:rPr>
              <w:t>25,4</w:t>
            </w:r>
          </w:p>
        </w:tc>
      </w:tr>
      <w:tr w:rsidR="001676E4" w:rsidRPr="005952CC" w14:paraId="38B23881" w14:textId="77777777" w:rsidTr="003D66E5">
        <w:trPr>
          <w:cantSplit/>
          <w:trHeight w:val="564"/>
        </w:trPr>
        <w:tc>
          <w:tcPr>
            <w:tcW w:w="1985" w:type="dxa"/>
            <w:vMerge/>
            <w:tcBorders>
              <w:left w:val="single" w:sz="12" w:space="0" w:color="auto"/>
              <w:right w:val="single" w:sz="12" w:space="0" w:color="auto"/>
            </w:tcBorders>
            <w:shd w:val="clear" w:color="000000" w:fill="FFFFFF"/>
          </w:tcPr>
          <w:p w14:paraId="4D4F53FD"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4394" w:type="dxa"/>
            <w:tcBorders>
              <w:left w:val="single" w:sz="12" w:space="0" w:color="auto"/>
              <w:right w:val="single" w:sz="12" w:space="0" w:color="auto"/>
            </w:tcBorders>
            <w:shd w:val="clear" w:color="000000" w:fill="FFFFFF"/>
            <w:vAlign w:val="center"/>
          </w:tcPr>
          <w:p w14:paraId="7755E786"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W czasie 12 miesięcy przed badaniem</w:t>
            </w:r>
          </w:p>
        </w:tc>
        <w:tc>
          <w:tcPr>
            <w:tcW w:w="1418" w:type="dxa"/>
            <w:tcBorders>
              <w:right w:val="single" w:sz="12" w:space="0" w:color="auto"/>
            </w:tcBorders>
            <w:shd w:val="clear" w:color="000000" w:fill="FFFFFF"/>
            <w:vAlign w:val="center"/>
          </w:tcPr>
          <w:p w14:paraId="359FFEFC"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21,6</w:t>
            </w:r>
          </w:p>
        </w:tc>
        <w:tc>
          <w:tcPr>
            <w:tcW w:w="1417" w:type="dxa"/>
            <w:tcBorders>
              <w:right w:val="single" w:sz="12" w:space="0" w:color="auto"/>
            </w:tcBorders>
            <w:shd w:val="clear" w:color="000000" w:fill="FFFFFF"/>
            <w:vAlign w:val="center"/>
          </w:tcPr>
          <w:p w14:paraId="5605D46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19,0</w:t>
            </w:r>
          </w:p>
        </w:tc>
      </w:tr>
      <w:tr w:rsidR="001676E4" w:rsidRPr="005952CC" w14:paraId="395F8E2C" w14:textId="77777777" w:rsidTr="003D66E5">
        <w:trPr>
          <w:cantSplit/>
          <w:trHeight w:val="558"/>
        </w:trPr>
        <w:tc>
          <w:tcPr>
            <w:tcW w:w="1985" w:type="dxa"/>
            <w:vMerge/>
            <w:tcBorders>
              <w:left w:val="single" w:sz="12" w:space="0" w:color="auto"/>
              <w:bottom w:val="single" w:sz="12" w:space="0" w:color="auto"/>
              <w:right w:val="single" w:sz="12" w:space="0" w:color="auto"/>
            </w:tcBorders>
            <w:shd w:val="clear" w:color="000000" w:fill="FFFFFF"/>
          </w:tcPr>
          <w:p w14:paraId="282E7279"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4394" w:type="dxa"/>
            <w:tcBorders>
              <w:left w:val="single" w:sz="12" w:space="0" w:color="auto"/>
              <w:bottom w:val="single" w:sz="12" w:space="0" w:color="auto"/>
              <w:right w:val="single" w:sz="12" w:space="0" w:color="auto"/>
            </w:tcBorders>
            <w:shd w:val="clear" w:color="000000" w:fill="FFFFFF"/>
            <w:vAlign w:val="center"/>
          </w:tcPr>
          <w:p w14:paraId="18EA5BFC"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W czasie 30 dni przed badaniem</w:t>
            </w:r>
          </w:p>
        </w:tc>
        <w:tc>
          <w:tcPr>
            <w:tcW w:w="1418" w:type="dxa"/>
            <w:tcBorders>
              <w:bottom w:val="single" w:sz="12" w:space="0" w:color="auto"/>
              <w:right w:val="single" w:sz="12" w:space="0" w:color="auto"/>
            </w:tcBorders>
            <w:shd w:val="clear" w:color="000000" w:fill="FFFFFF"/>
            <w:vAlign w:val="center"/>
          </w:tcPr>
          <w:p w14:paraId="71D785B8"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12,1</w:t>
            </w:r>
          </w:p>
        </w:tc>
        <w:tc>
          <w:tcPr>
            <w:tcW w:w="1417" w:type="dxa"/>
            <w:tcBorders>
              <w:bottom w:val="single" w:sz="12" w:space="0" w:color="auto"/>
              <w:right w:val="single" w:sz="12" w:space="0" w:color="auto"/>
            </w:tcBorders>
            <w:shd w:val="clear" w:color="000000" w:fill="FFFFFF"/>
            <w:vAlign w:val="center"/>
          </w:tcPr>
          <w:p w14:paraId="7431E65E"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12,5</w:t>
            </w:r>
          </w:p>
        </w:tc>
      </w:tr>
      <w:tr w:rsidR="001676E4" w:rsidRPr="005952CC" w14:paraId="1728AF64" w14:textId="77777777" w:rsidTr="003D66E5">
        <w:trPr>
          <w:cantSplit/>
          <w:trHeight w:val="468"/>
        </w:trPr>
        <w:tc>
          <w:tcPr>
            <w:tcW w:w="1985" w:type="dxa"/>
            <w:vMerge w:val="restart"/>
            <w:tcBorders>
              <w:top w:val="single" w:sz="12" w:space="0" w:color="auto"/>
              <w:left w:val="single" w:sz="12" w:space="0" w:color="auto"/>
              <w:right w:val="single" w:sz="12" w:space="0" w:color="auto"/>
            </w:tcBorders>
            <w:shd w:val="clear" w:color="000000" w:fill="FFFFFF"/>
          </w:tcPr>
          <w:p w14:paraId="21DE08BA"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Starsza kohorta (17-18 lat)</w:t>
            </w:r>
          </w:p>
        </w:tc>
        <w:tc>
          <w:tcPr>
            <w:tcW w:w="4394" w:type="dxa"/>
            <w:tcBorders>
              <w:top w:val="single" w:sz="12" w:space="0" w:color="auto"/>
              <w:left w:val="single" w:sz="12" w:space="0" w:color="auto"/>
              <w:right w:val="single" w:sz="12" w:space="0" w:color="auto"/>
            </w:tcBorders>
            <w:shd w:val="clear" w:color="000000" w:fill="FFFFFF"/>
            <w:vAlign w:val="center"/>
          </w:tcPr>
          <w:p w14:paraId="5E0179C5"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Kiedykolwiek w życiu</w:t>
            </w:r>
          </w:p>
        </w:tc>
        <w:tc>
          <w:tcPr>
            <w:tcW w:w="1418" w:type="dxa"/>
            <w:tcBorders>
              <w:top w:val="single" w:sz="12" w:space="0" w:color="auto"/>
              <w:right w:val="single" w:sz="12" w:space="0" w:color="auto"/>
            </w:tcBorders>
            <w:shd w:val="clear" w:color="000000" w:fill="FFFFFF"/>
            <w:vAlign w:val="center"/>
          </w:tcPr>
          <w:p w14:paraId="79A96F3A" w14:textId="77777777" w:rsidR="001676E4" w:rsidRPr="005952CC" w:rsidRDefault="001676E4" w:rsidP="003D66E5">
            <w:pPr>
              <w:spacing w:after="0" w:line="240" w:lineRule="auto"/>
              <w:jc w:val="right"/>
              <w:rPr>
                <w:rFonts w:cs="Arial"/>
                <w:b/>
                <w:bCs/>
                <w:color w:val="000000"/>
                <w:sz w:val="18"/>
                <w:szCs w:val="18"/>
              </w:rPr>
            </w:pPr>
            <w:r w:rsidRPr="005952CC">
              <w:rPr>
                <w:rFonts w:cs="Arial"/>
                <w:b/>
                <w:bCs/>
                <w:color w:val="000000"/>
                <w:sz w:val="18"/>
                <w:szCs w:val="18"/>
              </w:rPr>
              <w:t>31,1</w:t>
            </w:r>
          </w:p>
        </w:tc>
        <w:tc>
          <w:tcPr>
            <w:tcW w:w="1417" w:type="dxa"/>
            <w:tcBorders>
              <w:top w:val="single" w:sz="12" w:space="0" w:color="auto"/>
              <w:right w:val="single" w:sz="12" w:space="0" w:color="auto"/>
            </w:tcBorders>
            <w:shd w:val="clear" w:color="000000" w:fill="FFFFFF"/>
            <w:vAlign w:val="center"/>
          </w:tcPr>
          <w:p w14:paraId="741CFD27" w14:textId="77777777" w:rsidR="001676E4" w:rsidRPr="005952CC" w:rsidRDefault="001676E4" w:rsidP="003D66E5">
            <w:pPr>
              <w:spacing w:after="0" w:line="240" w:lineRule="auto"/>
              <w:jc w:val="right"/>
              <w:rPr>
                <w:rFonts w:cs="Arial"/>
                <w:b/>
                <w:bCs/>
                <w:color w:val="000000"/>
                <w:sz w:val="18"/>
                <w:szCs w:val="18"/>
              </w:rPr>
            </w:pPr>
            <w:r w:rsidRPr="005952CC">
              <w:rPr>
                <w:rFonts w:cs="Arial"/>
                <w:b/>
                <w:bCs/>
                <w:color w:val="000000"/>
                <w:sz w:val="18"/>
                <w:szCs w:val="18"/>
              </w:rPr>
              <w:t>26,8</w:t>
            </w:r>
          </w:p>
        </w:tc>
      </w:tr>
      <w:tr w:rsidR="001676E4" w:rsidRPr="005952CC" w14:paraId="706CDBC6" w14:textId="77777777" w:rsidTr="003D66E5">
        <w:trPr>
          <w:cantSplit/>
          <w:trHeight w:val="488"/>
        </w:trPr>
        <w:tc>
          <w:tcPr>
            <w:tcW w:w="1985" w:type="dxa"/>
            <w:vMerge/>
            <w:tcBorders>
              <w:left w:val="single" w:sz="12" w:space="0" w:color="auto"/>
              <w:right w:val="single" w:sz="12" w:space="0" w:color="auto"/>
            </w:tcBorders>
            <w:shd w:val="clear" w:color="000000" w:fill="FFFFFF"/>
          </w:tcPr>
          <w:p w14:paraId="0EDD4A4D"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4394" w:type="dxa"/>
            <w:tcBorders>
              <w:left w:val="single" w:sz="12" w:space="0" w:color="auto"/>
              <w:right w:val="single" w:sz="12" w:space="0" w:color="auto"/>
            </w:tcBorders>
            <w:shd w:val="clear" w:color="000000" w:fill="FFFFFF"/>
            <w:vAlign w:val="center"/>
          </w:tcPr>
          <w:p w14:paraId="5A781D93"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W czasie 12 miesięcy przed badaniem</w:t>
            </w:r>
          </w:p>
        </w:tc>
        <w:tc>
          <w:tcPr>
            <w:tcW w:w="1418" w:type="dxa"/>
            <w:tcBorders>
              <w:right w:val="single" w:sz="12" w:space="0" w:color="auto"/>
            </w:tcBorders>
            <w:shd w:val="clear" w:color="000000" w:fill="FFFFFF"/>
            <w:vAlign w:val="center"/>
          </w:tcPr>
          <w:p w14:paraId="4D1373AF"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23,8</w:t>
            </w:r>
          </w:p>
        </w:tc>
        <w:tc>
          <w:tcPr>
            <w:tcW w:w="1417" w:type="dxa"/>
            <w:tcBorders>
              <w:right w:val="single" w:sz="12" w:space="0" w:color="auto"/>
            </w:tcBorders>
            <w:shd w:val="clear" w:color="000000" w:fill="FFFFFF"/>
            <w:vAlign w:val="center"/>
          </w:tcPr>
          <w:p w14:paraId="7E49CDE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20,5</w:t>
            </w:r>
          </w:p>
        </w:tc>
      </w:tr>
      <w:tr w:rsidR="001676E4" w:rsidRPr="005952CC" w14:paraId="32F54A73" w14:textId="77777777" w:rsidTr="003D66E5">
        <w:trPr>
          <w:cantSplit/>
          <w:trHeight w:val="538"/>
        </w:trPr>
        <w:tc>
          <w:tcPr>
            <w:tcW w:w="1985" w:type="dxa"/>
            <w:vMerge/>
            <w:tcBorders>
              <w:left w:val="single" w:sz="12" w:space="0" w:color="auto"/>
              <w:bottom w:val="single" w:sz="12" w:space="0" w:color="auto"/>
              <w:right w:val="single" w:sz="12" w:space="0" w:color="auto"/>
            </w:tcBorders>
            <w:shd w:val="clear" w:color="000000" w:fill="FFFFFF"/>
          </w:tcPr>
          <w:p w14:paraId="1B383870"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4394" w:type="dxa"/>
            <w:tcBorders>
              <w:left w:val="single" w:sz="12" w:space="0" w:color="auto"/>
              <w:bottom w:val="single" w:sz="12" w:space="0" w:color="auto"/>
              <w:right w:val="single" w:sz="12" w:space="0" w:color="auto"/>
            </w:tcBorders>
            <w:shd w:val="clear" w:color="000000" w:fill="FFFFFF"/>
            <w:vAlign w:val="center"/>
          </w:tcPr>
          <w:p w14:paraId="56D9DDC1"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W czasie 30 dni przed badaniem</w:t>
            </w:r>
          </w:p>
        </w:tc>
        <w:tc>
          <w:tcPr>
            <w:tcW w:w="1418" w:type="dxa"/>
            <w:tcBorders>
              <w:bottom w:val="single" w:sz="12" w:space="0" w:color="auto"/>
              <w:right w:val="single" w:sz="12" w:space="0" w:color="auto"/>
            </w:tcBorders>
            <w:shd w:val="clear" w:color="000000" w:fill="FFFFFF"/>
            <w:vAlign w:val="center"/>
          </w:tcPr>
          <w:p w14:paraId="7F1D105F"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18,0</w:t>
            </w:r>
          </w:p>
        </w:tc>
        <w:tc>
          <w:tcPr>
            <w:tcW w:w="1417" w:type="dxa"/>
            <w:tcBorders>
              <w:bottom w:val="single" w:sz="12" w:space="0" w:color="auto"/>
              <w:right w:val="single" w:sz="12" w:space="0" w:color="auto"/>
            </w:tcBorders>
            <w:shd w:val="clear" w:color="000000" w:fill="FFFFFF"/>
            <w:vAlign w:val="center"/>
          </w:tcPr>
          <w:p w14:paraId="190A15DC"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14,1</w:t>
            </w:r>
          </w:p>
        </w:tc>
      </w:tr>
    </w:tbl>
    <w:p w14:paraId="10FC3CB2" w14:textId="3C5BC9CD" w:rsidR="0022273E" w:rsidRPr="0022273E" w:rsidRDefault="0022273E" w:rsidP="001676E4">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0735FA18" w14:textId="21EDF8ED" w:rsidR="001676E4" w:rsidRPr="00317DE2" w:rsidRDefault="001676E4" w:rsidP="001676E4">
      <w:pPr>
        <w:widowControl w:val="0"/>
        <w:autoSpaceDE w:val="0"/>
        <w:autoSpaceDN w:val="0"/>
        <w:adjustRightInd w:val="0"/>
        <w:spacing w:line="360" w:lineRule="auto"/>
        <w:ind w:firstLine="567"/>
        <w:jc w:val="both"/>
        <w:rPr>
          <w:rFonts w:cs="Arial"/>
          <w:color w:val="000000"/>
          <w:sz w:val="22"/>
          <w:szCs w:val="22"/>
        </w:rPr>
      </w:pPr>
      <w:r w:rsidRPr="00317DE2">
        <w:rPr>
          <w:rFonts w:cs="Arial"/>
          <w:color w:val="000000"/>
          <w:sz w:val="22"/>
          <w:szCs w:val="22"/>
        </w:rPr>
        <w:t xml:space="preserve">Tabela </w:t>
      </w:r>
      <w:r>
        <w:rPr>
          <w:rFonts w:cs="Arial"/>
          <w:color w:val="000000"/>
          <w:sz w:val="22"/>
          <w:szCs w:val="22"/>
        </w:rPr>
        <w:t>2</w:t>
      </w:r>
      <w:r w:rsidR="00575072">
        <w:rPr>
          <w:rFonts w:cs="Arial"/>
          <w:color w:val="000000"/>
          <w:sz w:val="22"/>
          <w:szCs w:val="22"/>
        </w:rPr>
        <w:t>2</w:t>
      </w:r>
      <w:r w:rsidRPr="00317DE2">
        <w:rPr>
          <w:rFonts w:cs="Arial"/>
          <w:color w:val="000000"/>
          <w:sz w:val="22"/>
          <w:szCs w:val="22"/>
        </w:rPr>
        <w:t xml:space="preserve"> przedstawia częstotliwość stawiania pieniędzy w grach hazardowych </w:t>
      </w:r>
      <w:r w:rsidRPr="00317DE2">
        <w:rPr>
          <w:rFonts w:cs="Arial"/>
          <w:color w:val="000000"/>
          <w:sz w:val="22"/>
          <w:szCs w:val="22"/>
        </w:rPr>
        <w:br/>
        <w:t xml:space="preserve">w czasie ostatnich 12 miesięcy. Blisko 80% młodzieży młodszej i 75% starszej nie miało w ciągu </w:t>
      </w:r>
      <w:r w:rsidRPr="00317DE2">
        <w:rPr>
          <w:rFonts w:cs="Arial"/>
          <w:color w:val="000000"/>
          <w:sz w:val="22"/>
          <w:szCs w:val="22"/>
        </w:rPr>
        <w:lastRenderedPageBreak/>
        <w:t xml:space="preserve">12 miesięcy takiego doświadczenia. Najwyższa częstotliwość stawiania pieniędzy wśród tych, którzy to robili, to raz na miesiąc lub rzadziej (młodsza młodzież – 12,3%, starsza – 11,3%). </w:t>
      </w:r>
    </w:p>
    <w:p w14:paraId="3CC815CE" w14:textId="77777777" w:rsidR="001676E4" w:rsidRPr="00317DE2" w:rsidRDefault="001676E4" w:rsidP="001676E4">
      <w:pPr>
        <w:widowControl w:val="0"/>
        <w:autoSpaceDE w:val="0"/>
        <w:autoSpaceDN w:val="0"/>
        <w:adjustRightInd w:val="0"/>
        <w:spacing w:line="360" w:lineRule="auto"/>
        <w:ind w:firstLine="567"/>
        <w:jc w:val="both"/>
        <w:rPr>
          <w:rFonts w:cs="Arial"/>
          <w:b/>
          <w:bCs/>
          <w:color w:val="000000"/>
          <w:sz w:val="22"/>
          <w:szCs w:val="22"/>
        </w:rPr>
      </w:pPr>
      <w:r w:rsidRPr="00317DE2">
        <w:rPr>
          <w:rFonts w:cs="Arial"/>
          <w:color w:val="000000"/>
          <w:sz w:val="22"/>
          <w:szCs w:val="22"/>
        </w:rPr>
        <w:t>Wyniki uzyskane w młodszej kohorcie w województwie lubelskim są nieznacznie wyższe niż uzyskane w populacji generalnej.</w:t>
      </w:r>
      <w:r>
        <w:rPr>
          <w:rFonts w:cs="Arial"/>
          <w:b/>
          <w:bCs/>
          <w:color w:val="000000"/>
          <w:sz w:val="22"/>
          <w:szCs w:val="22"/>
        </w:rPr>
        <w:tab/>
      </w:r>
      <w:r w:rsidRPr="00317DE2">
        <w:rPr>
          <w:rFonts w:cs="Arial"/>
          <w:b/>
          <w:color w:val="000000"/>
          <w:sz w:val="22"/>
          <w:szCs w:val="22"/>
        </w:rPr>
        <w:tab/>
      </w:r>
      <w:r w:rsidRPr="00317DE2">
        <w:rPr>
          <w:rFonts w:cs="Arial"/>
          <w:b/>
          <w:color w:val="000000"/>
          <w:sz w:val="22"/>
          <w:szCs w:val="22"/>
        </w:rPr>
        <w:tab/>
      </w:r>
      <w:r w:rsidRPr="00317DE2">
        <w:rPr>
          <w:rFonts w:cs="Arial"/>
          <w:b/>
          <w:color w:val="000000"/>
          <w:sz w:val="22"/>
          <w:szCs w:val="22"/>
        </w:rPr>
        <w:tab/>
      </w:r>
      <w:r w:rsidRPr="00317DE2">
        <w:rPr>
          <w:rFonts w:cs="Arial"/>
          <w:b/>
          <w:color w:val="000000"/>
          <w:sz w:val="22"/>
          <w:szCs w:val="22"/>
        </w:rPr>
        <w:tab/>
      </w:r>
    </w:p>
    <w:p w14:paraId="62F94452" w14:textId="64F8C9C3" w:rsidR="001676E4" w:rsidRPr="00A43860" w:rsidRDefault="001676E4" w:rsidP="001676E4">
      <w:pPr>
        <w:pStyle w:val="Legenda"/>
        <w:keepNext/>
        <w:rPr>
          <w:sz w:val="20"/>
          <w:szCs w:val="16"/>
        </w:rPr>
      </w:pPr>
      <w:bookmarkStart w:id="103" w:name="_Toc214279707"/>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22</w:t>
      </w:r>
      <w:r w:rsidRPr="00A43860">
        <w:rPr>
          <w:sz w:val="20"/>
          <w:szCs w:val="16"/>
        </w:rPr>
        <w:fldChar w:fldCharType="end"/>
      </w:r>
      <w:r w:rsidRPr="00A43860">
        <w:rPr>
          <w:sz w:val="20"/>
          <w:szCs w:val="16"/>
        </w:rPr>
        <w:t>.  Częstotliwość stawiania pieniędzy w grach hazardowych w czasie ostatnich 12 miesięcy</w:t>
      </w:r>
      <w:bookmarkEnd w:id="103"/>
    </w:p>
    <w:tbl>
      <w:tblPr>
        <w:tblW w:w="8719" w:type="dxa"/>
        <w:tblInd w:w="93" w:type="dxa"/>
        <w:tblLayout w:type="fixed"/>
        <w:tblCellMar>
          <w:left w:w="93" w:type="dxa"/>
          <w:right w:w="93" w:type="dxa"/>
        </w:tblCellMar>
        <w:tblLook w:val="0000" w:firstRow="0" w:lastRow="0" w:firstColumn="0" w:lastColumn="0" w:noHBand="0" w:noVBand="0"/>
      </w:tblPr>
      <w:tblGrid>
        <w:gridCol w:w="1800"/>
        <w:gridCol w:w="3445"/>
        <w:gridCol w:w="1843"/>
        <w:gridCol w:w="1631"/>
      </w:tblGrid>
      <w:tr w:rsidR="001676E4" w:rsidRPr="0092722E" w14:paraId="62CC89FA" w14:textId="77777777" w:rsidTr="003D66E5">
        <w:trPr>
          <w:trHeight w:val="512"/>
        </w:trPr>
        <w:tc>
          <w:tcPr>
            <w:tcW w:w="1800" w:type="dxa"/>
            <w:tcBorders>
              <w:top w:val="single" w:sz="12" w:space="0" w:color="000000"/>
              <w:left w:val="single" w:sz="12" w:space="0" w:color="000000"/>
              <w:bottom w:val="single" w:sz="12" w:space="0" w:color="000000"/>
              <w:right w:val="single" w:sz="12" w:space="0" w:color="auto"/>
            </w:tcBorders>
            <w:shd w:val="clear" w:color="000000" w:fill="FFFFFF"/>
            <w:vAlign w:val="bottom"/>
          </w:tcPr>
          <w:p w14:paraId="0FBED861" w14:textId="77777777" w:rsidR="001676E4" w:rsidRPr="0092722E" w:rsidRDefault="001676E4" w:rsidP="003D66E5">
            <w:pPr>
              <w:widowControl w:val="0"/>
              <w:autoSpaceDE w:val="0"/>
              <w:autoSpaceDN w:val="0"/>
              <w:adjustRightInd w:val="0"/>
              <w:rPr>
                <w:rFonts w:cs="Arial"/>
                <w:b/>
                <w:bCs/>
                <w:color w:val="000000"/>
              </w:rPr>
            </w:pPr>
            <w:r w:rsidRPr="0092722E">
              <w:rPr>
                <w:rFonts w:cs="Arial"/>
                <w:b/>
                <w:bCs/>
                <w:color w:val="000000"/>
              </w:rPr>
              <w:t>Kohorta</w:t>
            </w:r>
          </w:p>
        </w:tc>
        <w:tc>
          <w:tcPr>
            <w:tcW w:w="3445" w:type="dxa"/>
            <w:tcBorders>
              <w:top w:val="single" w:sz="12" w:space="0" w:color="000000"/>
              <w:left w:val="single" w:sz="12" w:space="0" w:color="auto"/>
              <w:bottom w:val="single" w:sz="12" w:space="0" w:color="000000"/>
              <w:right w:val="single" w:sz="12" w:space="0" w:color="000000"/>
            </w:tcBorders>
            <w:shd w:val="clear" w:color="000000" w:fill="FFFFFF"/>
            <w:vAlign w:val="bottom"/>
          </w:tcPr>
          <w:p w14:paraId="277FCBDE" w14:textId="77777777" w:rsidR="001676E4" w:rsidRPr="0092722E" w:rsidRDefault="001676E4" w:rsidP="003D66E5">
            <w:pPr>
              <w:widowControl w:val="0"/>
              <w:autoSpaceDE w:val="0"/>
              <w:autoSpaceDN w:val="0"/>
              <w:adjustRightInd w:val="0"/>
              <w:rPr>
                <w:rFonts w:cs="Arial"/>
                <w:b/>
                <w:bCs/>
                <w:color w:val="000000"/>
              </w:rPr>
            </w:pPr>
            <w:r w:rsidRPr="0092722E">
              <w:rPr>
                <w:rFonts w:cs="Arial"/>
                <w:b/>
                <w:bCs/>
                <w:color w:val="000000"/>
              </w:rPr>
              <w:t xml:space="preserve"> </w:t>
            </w:r>
          </w:p>
        </w:tc>
        <w:tc>
          <w:tcPr>
            <w:tcW w:w="1843"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6CBCDA30" w14:textId="77777777" w:rsidR="001676E4" w:rsidRPr="0092722E" w:rsidRDefault="001676E4" w:rsidP="003D66E5">
            <w:pPr>
              <w:widowControl w:val="0"/>
              <w:autoSpaceDE w:val="0"/>
              <w:autoSpaceDN w:val="0"/>
              <w:adjustRightInd w:val="0"/>
              <w:jc w:val="center"/>
              <w:rPr>
                <w:rFonts w:cs="Arial"/>
                <w:b/>
                <w:bCs/>
                <w:color w:val="000000"/>
              </w:rPr>
            </w:pPr>
            <w:r w:rsidRPr="0092722E">
              <w:rPr>
                <w:rFonts w:cs="Arial"/>
                <w:b/>
                <w:bCs/>
                <w:color w:val="000000"/>
              </w:rPr>
              <w:t>Lubelskie</w:t>
            </w:r>
          </w:p>
        </w:tc>
        <w:tc>
          <w:tcPr>
            <w:tcW w:w="1631"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240B5BC6" w14:textId="77777777" w:rsidR="001676E4" w:rsidRPr="0092722E" w:rsidRDefault="001676E4" w:rsidP="003D66E5">
            <w:pPr>
              <w:widowControl w:val="0"/>
              <w:autoSpaceDE w:val="0"/>
              <w:autoSpaceDN w:val="0"/>
              <w:adjustRightInd w:val="0"/>
              <w:jc w:val="center"/>
              <w:rPr>
                <w:rFonts w:cs="Arial"/>
                <w:b/>
                <w:bCs/>
                <w:color w:val="000000"/>
              </w:rPr>
            </w:pPr>
            <w:r w:rsidRPr="0092722E">
              <w:rPr>
                <w:rFonts w:cs="Arial"/>
                <w:b/>
                <w:bCs/>
                <w:color w:val="000000"/>
              </w:rPr>
              <w:t>Polska</w:t>
            </w:r>
          </w:p>
        </w:tc>
      </w:tr>
      <w:tr w:rsidR="001676E4" w:rsidRPr="005952CC" w14:paraId="0D79294E" w14:textId="77777777" w:rsidTr="003D66E5">
        <w:trPr>
          <w:cantSplit/>
          <w:trHeight w:val="544"/>
        </w:trPr>
        <w:tc>
          <w:tcPr>
            <w:tcW w:w="1800" w:type="dxa"/>
            <w:vMerge w:val="restart"/>
            <w:tcBorders>
              <w:top w:val="single" w:sz="12" w:space="0" w:color="000000"/>
              <w:left w:val="single" w:sz="12" w:space="0" w:color="000000"/>
              <w:right w:val="single" w:sz="12" w:space="0" w:color="auto"/>
            </w:tcBorders>
            <w:shd w:val="clear" w:color="000000" w:fill="FFFFFF"/>
          </w:tcPr>
          <w:p w14:paraId="5BD62DDC"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Młodsza kohorta (15-16 lat)</w:t>
            </w:r>
          </w:p>
          <w:p w14:paraId="42AA3C4B"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 xml:space="preserve"> </w:t>
            </w:r>
          </w:p>
          <w:p w14:paraId="17D7EE41"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 xml:space="preserve"> </w:t>
            </w:r>
          </w:p>
          <w:p w14:paraId="51DBE165"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single" w:sz="12" w:space="0" w:color="000000"/>
              <w:left w:val="single" w:sz="12" w:space="0" w:color="auto"/>
              <w:bottom w:val="nil"/>
              <w:right w:val="single" w:sz="12" w:space="0" w:color="000000"/>
            </w:tcBorders>
            <w:shd w:val="clear" w:color="000000" w:fill="FFFFFF"/>
          </w:tcPr>
          <w:p w14:paraId="7B62B8DA"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Nie grał</w:t>
            </w:r>
          </w:p>
        </w:tc>
        <w:tc>
          <w:tcPr>
            <w:tcW w:w="1843" w:type="dxa"/>
            <w:tcBorders>
              <w:top w:val="single" w:sz="12" w:space="0" w:color="000000"/>
              <w:left w:val="single" w:sz="2" w:space="0" w:color="000000"/>
              <w:bottom w:val="nil"/>
              <w:right w:val="single" w:sz="12" w:space="0" w:color="000000"/>
            </w:tcBorders>
            <w:shd w:val="clear" w:color="000000" w:fill="FFFFFF"/>
            <w:vAlign w:val="center"/>
          </w:tcPr>
          <w:p w14:paraId="155A893F" w14:textId="77777777" w:rsidR="001676E4" w:rsidRPr="005952CC" w:rsidRDefault="001676E4" w:rsidP="003D66E5">
            <w:pPr>
              <w:spacing w:after="0"/>
              <w:jc w:val="right"/>
              <w:rPr>
                <w:rFonts w:cs="Arial"/>
                <w:color w:val="000000"/>
              </w:rPr>
            </w:pPr>
            <w:r w:rsidRPr="005952CC">
              <w:rPr>
                <w:rFonts w:cs="Arial"/>
                <w:color w:val="000000"/>
              </w:rPr>
              <w:t>79,0</w:t>
            </w:r>
          </w:p>
        </w:tc>
        <w:tc>
          <w:tcPr>
            <w:tcW w:w="1631" w:type="dxa"/>
            <w:tcBorders>
              <w:top w:val="single" w:sz="12" w:space="0" w:color="000000"/>
              <w:left w:val="single" w:sz="2" w:space="0" w:color="000000"/>
              <w:bottom w:val="nil"/>
              <w:right w:val="single" w:sz="12" w:space="0" w:color="000000"/>
            </w:tcBorders>
            <w:shd w:val="clear" w:color="000000" w:fill="FFFFFF"/>
            <w:vAlign w:val="center"/>
          </w:tcPr>
          <w:p w14:paraId="4D4FE7B7" w14:textId="77777777" w:rsidR="001676E4" w:rsidRPr="005952CC" w:rsidRDefault="001676E4" w:rsidP="003D66E5">
            <w:pPr>
              <w:spacing w:after="0"/>
              <w:jc w:val="right"/>
              <w:rPr>
                <w:rFonts w:cs="Arial"/>
                <w:color w:val="000000"/>
              </w:rPr>
            </w:pPr>
            <w:r w:rsidRPr="005952CC">
              <w:rPr>
                <w:rFonts w:cs="Arial"/>
                <w:color w:val="000000"/>
              </w:rPr>
              <w:t>79,7</w:t>
            </w:r>
          </w:p>
        </w:tc>
      </w:tr>
      <w:tr w:rsidR="001676E4" w:rsidRPr="005952CC" w14:paraId="4851B2B6"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7C32564C"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nil"/>
              <w:left w:val="single" w:sz="12" w:space="0" w:color="auto"/>
              <w:bottom w:val="nil"/>
              <w:right w:val="single" w:sz="12" w:space="0" w:color="000000"/>
            </w:tcBorders>
            <w:shd w:val="clear" w:color="000000" w:fill="FFFFFF"/>
          </w:tcPr>
          <w:p w14:paraId="32258DF5"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Raz na miesiąc lub rzadziej</w:t>
            </w:r>
          </w:p>
        </w:tc>
        <w:tc>
          <w:tcPr>
            <w:tcW w:w="1843" w:type="dxa"/>
            <w:tcBorders>
              <w:top w:val="nil"/>
              <w:left w:val="single" w:sz="2" w:space="0" w:color="000000"/>
              <w:bottom w:val="nil"/>
              <w:right w:val="single" w:sz="12" w:space="0" w:color="000000"/>
            </w:tcBorders>
            <w:shd w:val="clear" w:color="000000" w:fill="FFFFFF"/>
            <w:vAlign w:val="center"/>
          </w:tcPr>
          <w:p w14:paraId="65C3BCA7" w14:textId="77777777" w:rsidR="001676E4" w:rsidRPr="005952CC" w:rsidRDefault="001676E4" w:rsidP="003D66E5">
            <w:pPr>
              <w:spacing w:after="0"/>
              <w:jc w:val="right"/>
              <w:rPr>
                <w:rFonts w:cs="Arial"/>
                <w:color w:val="000000"/>
              </w:rPr>
            </w:pPr>
            <w:r w:rsidRPr="005952CC">
              <w:rPr>
                <w:rFonts w:cs="Arial"/>
                <w:color w:val="000000"/>
              </w:rPr>
              <w:t>12,3</w:t>
            </w:r>
          </w:p>
        </w:tc>
        <w:tc>
          <w:tcPr>
            <w:tcW w:w="1631" w:type="dxa"/>
            <w:tcBorders>
              <w:top w:val="nil"/>
              <w:left w:val="single" w:sz="2" w:space="0" w:color="000000"/>
              <w:bottom w:val="nil"/>
              <w:right w:val="single" w:sz="12" w:space="0" w:color="000000"/>
            </w:tcBorders>
            <w:shd w:val="clear" w:color="000000" w:fill="FFFFFF"/>
            <w:vAlign w:val="center"/>
          </w:tcPr>
          <w:p w14:paraId="21294BE7" w14:textId="77777777" w:rsidR="001676E4" w:rsidRPr="005952CC" w:rsidRDefault="001676E4" w:rsidP="003D66E5">
            <w:pPr>
              <w:spacing w:after="0"/>
              <w:jc w:val="right"/>
              <w:rPr>
                <w:rFonts w:cs="Arial"/>
                <w:color w:val="000000"/>
              </w:rPr>
            </w:pPr>
            <w:r w:rsidRPr="005952CC">
              <w:rPr>
                <w:rFonts w:cs="Arial"/>
                <w:color w:val="000000"/>
              </w:rPr>
              <w:t>11,5</w:t>
            </w:r>
          </w:p>
        </w:tc>
      </w:tr>
      <w:tr w:rsidR="001676E4" w:rsidRPr="005952CC" w14:paraId="093A4DE0"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0141C923"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nil"/>
              <w:left w:val="single" w:sz="12" w:space="0" w:color="auto"/>
              <w:bottom w:val="nil"/>
              <w:right w:val="single" w:sz="12" w:space="0" w:color="000000"/>
            </w:tcBorders>
            <w:shd w:val="clear" w:color="000000" w:fill="FFFFFF"/>
          </w:tcPr>
          <w:p w14:paraId="53CDEF19"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2-4 razy w miesiącu</w:t>
            </w:r>
          </w:p>
        </w:tc>
        <w:tc>
          <w:tcPr>
            <w:tcW w:w="1843" w:type="dxa"/>
            <w:tcBorders>
              <w:top w:val="nil"/>
              <w:left w:val="single" w:sz="2" w:space="0" w:color="000000"/>
              <w:bottom w:val="nil"/>
              <w:right w:val="single" w:sz="12" w:space="0" w:color="000000"/>
            </w:tcBorders>
            <w:shd w:val="clear" w:color="000000" w:fill="FFFFFF"/>
            <w:vAlign w:val="center"/>
          </w:tcPr>
          <w:p w14:paraId="1E5A7272" w14:textId="77777777" w:rsidR="001676E4" w:rsidRPr="005952CC" w:rsidRDefault="001676E4" w:rsidP="003D66E5">
            <w:pPr>
              <w:spacing w:after="0"/>
              <w:jc w:val="right"/>
              <w:rPr>
                <w:rFonts w:cs="Arial"/>
                <w:color w:val="000000"/>
              </w:rPr>
            </w:pPr>
            <w:r w:rsidRPr="005952CC">
              <w:rPr>
                <w:rFonts w:cs="Arial"/>
                <w:color w:val="000000"/>
              </w:rPr>
              <w:t>3,5</w:t>
            </w:r>
          </w:p>
        </w:tc>
        <w:tc>
          <w:tcPr>
            <w:tcW w:w="1631" w:type="dxa"/>
            <w:tcBorders>
              <w:top w:val="nil"/>
              <w:left w:val="single" w:sz="2" w:space="0" w:color="000000"/>
              <w:bottom w:val="nil"/>
              <w:right w:val="single" w:sz="12" w:space="0" w:color="000000"/>
            </w:tcBorders>
            <w:shd w:val="clear" w:color="000000" w:fill="FFFFFF"/>
            <w:vAlign w:val="center"/>
          </w:tcPr>
          <w:p w14:paraId="0EE52E9F" w14:textId="77777777" w:rsidR="001676E4" w:rsidRPr="005952CC" w:rsidRDefault="001676E4" w:rsidP="003D66E5">
            <w:pPr>
              <w:spacing w:after="0"/>
              <w:jc w:val="right"/>
              <w:rPr>
                <w:rFonts w:cs="Arial"/>
                <w:color w:val="000000"/>
              </w:rPr>
            </w:pPr>
            <w:r w:rsidRPr="005952CC">
              <w:rPr>
                <w:rFonts w:cs="Arial"/>
                <w:color w:val="000000"/>
              </w:rPr>
              <w:t>4,1</w:t>
            </w:r>
          </w:p>
        </w:tc>
      </w:tr>
      <w:tr w:rsidR="001676E4" w:rsidRPr="005952CC" w14:paraId="126377B6"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1CCA4220"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nil"/>
              <w:left w:val="single" w:sz="12" w:space="0" w:color="auto"/>
              <w:bottom w:val="nil"/>
              <w:right w:val="single" w:sz="12" w:space="0" w:color="000000"/>
            </w:tcBorders>
            <w:shd w:val="clear" w:color="000000" w:fill="FFFFFF"/>
          </w:tcPr>
          <w:p w14:paraId="16577E80"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2-3 razy w tygodniu</w:t>
            </w:r>
          </w:p>
        </w:tc>
        <w:tc>
          <w:tcPr>
            <w:tcW w:w="1843" w:type="dxa"/>
            <w:tcBorders>
              <w:top w:val="nil"/>
              <w:left w:val="single" w:sz="2" w:space="0" w:color="000000"/>
              <w:bottom w:val="nil"/>
              <w:right w:val="single" w:sz="12" w:space="0" w:color="000000"/>
            </w:tcBorders>
            <w:shd w:val="clear" w:color="000000" w:fill="FFFFFF"/>
            <w:vAlign w:val="center"/>
          </w:tcPr>
          <w:p w14:paraId="359CA2CF" w14:textId="77777777" w:rsidR="001676E4" w:rsidRPr="005952CC" w:rsidRDefault="001676E4" w:rsidP="003D66E5">
            <w:pPr>
              <w:spacing w:after="0"/>
              <w:jc w:val="right"/>
              <w:rPr>
                <w:rFonts w:cs="Arial"/>
                <w:color w:val="000000"/>
              </w:rPr>
            </w:pPr>
            <w:r w:rsidRPr="005952CC">
              <w:rPr>
                <w:rFonts w:cs="Arial"/>
                <w:color w:val="000000"/>
              </w:rPr>
              <w:t>5,2</w:t>
            </w:r>
          </w:p>
        </w:tc>
        <w:tc>
          <w:tcPr>
            <w:tcW w:w="1631" w:type="dxa"/>
            <w:tcBorders>
              <w:top w:val="nil"/>
              <w:left w:val="single" w:sz="2" w:space="0" w:color="000000"/>
              <w:bottom w:val="nil"/>
              <w:right w:val="single" w:sz="12" w:space="0" w:color="000000"/>
            </w:tcBorders>
            <w:shd w:val="clear" w:color="000000" w:fill="FFFFFF"/>
            <w:vAlign w:val="center"/>
          </w:tcPr>
          <w:p w14:paraId="551E9C6A" w14:textId="77777777" w:rsidR="001676E4" w:rsidRPr="005952CC" w:rsidRDefault="001676E4" w:rsidP="003D66E5">
            <w:pPr>
              <w:spacing w:after="0"/>
              <w:jc w:val="right"/>
              <w:rPr>
                <w:rFonts w:cs="Arial"/>
                <w:color w:val="000000"/>
              </w:rPr>
            </w:pPr>
            <w:r w:rsidRPr="005952CC">
              <w:rPr>
                <w:rFonts w:cs="Arial"/>
                <w:color w:val="000000"/>
              </w:rPr>
              <w:t>4,7</w:t>
            </w:r>
          </w:p>
        </w:tc>
      </w:tr>
      <w:tr w:rsidR="001676E4" w:rsidRPr="005952CC" w14:paraId="5D4DE69A" w14:textId="77777777" w:rsidTr="003D66E5">
        <w:trPr>
          <w:cantSplit/>
          <w:trHeight w:val="544"/>
        </w:trPr>
        <w:tc>
          <w:tcPr>
            <w:tcW w:w="1800" w:type="dxa"/>
            <w:vMerge w:val="restart"/>
            <w:tcBorders>
              <w:top w:val="single" w:sz="4" w:space="0" w:color="000000"/>
              <w:left w:val="single" w:sz="12" w:space="0" w:color="000000"/>
              <w:right w:val="single" w:sz="12" w:space="0" w:color="auto"/>
            </w:tcBorders>
            <w:shd w:val="clear" w:color="000000" w:fill="FFFFFF"/>
          </w:tcPr>
          <w:p w14:paraId="0CF4357F"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Starsza kohorta (17-18 lat)</w:t>
            </w:r>
          </w:p>
          <w:p w14:paraId="0FB4FB58"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 xml:space="preserve"> </w:t>
            </w:r>
          </w:p>
          <w:p w14:paraId="2D1B06E8"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 xml:space="preserve"> </w:t>
            </w:r>
          </w:p>
          <w:p w14:paraId="00E4C502" w14:textId="77777777" w:rsidR="001676E4" w:rsidRPr="005952CC" w:rsidRDefault="001676E4" w:rsidP="003D66E5">
            <w:pPr>
              <w:widowControl w:val="0"/>
              <w:autoSpaceDE w:val="0"/>
              <w:autoSpaceDN w:val="0"/>
              <w:adjustRightInd w:val="0"/>
              <w:spacing w:after="0"/>
              <w:rPr>
                <w:rFonts w:cs="Arial"/>
                <w:color w:val="000000"/>
              </w:rPr>
            </w:pPr>
            <w:r w:rsidRPr="005952CC">
              <w:rPr>
                <w:rFonts w:cs="Arial"/>
                <w:color w:val="000000"/>
              </w:rPr>
              <w:t xml:space="preserve"> </w:t>
            </w:r>
          </w:p>
          <w:p w14:paraId="63667F38"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single" w:sz="4" w:space="0" w:color="auto"/>
              <w:left w:val="single" w:sz="12" w:space="0" w:color="auto"/>
              <w:bottom w:val="nil"/>
              <w:right w:val="single" w:sz="12" w:space="0" w:color="000000"/>
            </w:tcBorders>
            <w:shd w:val="clear" w:color="000000" w:fill="FFFFFF"/>
          </w:tcPr>
          <w:p w14:paraId="6E2B6899"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Nie grał</w:t>
            </w:r>
          </w:p>
        </w:tc>
        <w:tc>
          <w:tcPr>
            <w:tcW w:w="1843" w:type="dxa"/>
            <w:tcBorders>
              <w:top w:val="single" w:sz="4" w:space="0" w:color="auto"/>
              <w:left w:val="single" w:sz="2" w:space="0" w:color="000000"/>
              <w:bottom w:val="nil"/>
              <w:right w:val="single" w:sz="12" w:space="0" w:color="000000"/>
            </w:tcBorders>
            <w:shd w:val="clear" w:color="000000" w:fill="FFFFFF"/>
            <w:vAlign w:val="center"/>
          </w:tcPr>
          <w:p w14:paraId="1258B869" w14:textId="77777777" w:rsidR="001676E4" w:rsidRPr="005952CC" w:rsidRDefault="001676E4" w:rsidP="003D66E5">
            <w:pPr>
              <w:spacing w:after="0"/>
              <w:jc w:val="right"/>
              <w:rPr>
                <w:rFonts w:cs="Arial"/>
                <w:color w:val="000000"/>
              </w:rPr>
            </w:pPr>
            <w:r w:rsidRPr="005952CC">
              <w:rPr>
                <w:rFonts w:cs="Arial"/>
                <w:color w:val="000000"/>
              </w:rPr>
              <w:t>75,4</w:t>
            </w:r>
          </w:p>
        </w:tc>
        <w:tc>
          <w:tcPr>
            <w:tcW w:w="1631" w:type="dxa"/>
            <w:tcBorders>
              <w:top w:val="single" w:sz="4" w:space="0" w:color="auto"/>
              <w:left w:val="single" w:sz="2" w:space="0" w:color="000000"/>
              <w:bottom w:val="nil"/>
              <w:right w:val="single" w:sz="12" w:space="0" w:color="000000"/>
            </w:tcBorders>
            <w:shd w:val="clear" w:color="000000" w:fill="FFFFFF"/>
            <w:vAlign w:val="center"/>
          </w:tcPr>
          <w:p w14:paraId="70A74D50" w14:textId="77777777" w:rsidR="001676E4" w:rsidRPr="005952CC" w:rsidRDefault="001676E4" w:rsidP="003D66E5">
            <w:pPr>
              <w:spacing w:after="0"/>
              <w:jc w:val="right"/>
              <w:rPr>
                <w:rFonts w:cs="Arial"/>
                <w:color w:val="000000"/>
              </w:rPr>
            </w:pPr>
            <w:r w:rsidRPr="005952CC">
              <w:rPr>
                <w:rFonts w:cs="Arial"/>
                <w:color w:val="000000"/>
              </w:rPr>
              <w:t>79,8</w:t>
            </w:r>
          </w:p>
        </w:tc>
      </w:tr>
      <w:tr w:rsidR="001676E4" w:rsidRPr="005952CC" w14:paraId="175FF141"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10949B8F"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nil"/>
              <w:left w:val="single" w:sz="12" w:space="0" w:color="auto"/>
              <w:bottom w:val="nil"/>
              <w:right w:val="single" w:sz="12" w:space="0" w:color="000000"/>
            </w:tcBorders>
            <w:shd w:val="clear" w:color="000000" w:fill="FFFFFF"/>
          </w:tcPr>
          <w:p w14:paraId="302068DC"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Raz na miesiąc lub rzadziej</w:t>
            </w:r>
          </w:p>
        </w:tc>
        <w:tc>
          <w:tcPr>
            <w:tcW w:w="1843" w:type="dxa"/>
            <w:tcBorders>
              <w:top w:val="nil"/>
              <w:left w:val="single" w:sz="2" w:space="0" w:color="000000"/>
              <w:bottom w:val="nil"/>
              <w:right w:val="single" w:sz="12" w:space="0" w:color="000000"/>
            </w:tcBorders>
            <w:shd w:val="clear" w:color="000000" w:fill="FFFFFF"/>
            <w:vAlign w:val="center"/>
          </w:tcPr>
          <w:p w14:paraId="66638454" w14:textId="77777777" w:rsidR="001676E4" w:rsidRPr="005952CC" w:rsidRDefault="001676E4" w:rsidP="003D66E5">
            <w:pPr>
              <w:spacing w:after="0"/>
              <w:jc w:val="right"/>
              <w:rPr>
                <w:rFonts w:cs="Arial"/>
                <w:color w:val="000000"/>
              </w:rPr>
            </w:pPr>
            <w:r w:rsidRPr="005952CC">
              <w:rPr>
                <w:rFonts w:cs="Arial"/>
                <w:color w:val="000000"/>
              </w:rPr>
              <w:t>11,3</w:t>
            </w:r>
          </w:p>
        </w:tc>
        <w:tc>
          <w:tcPr>
            <w:tcW w:w="1631" w:type="dxa"/>
            <w:tcBorders>
              <w:top w:val="nil"/>
              <w:left w:val="single" w:sz="2" w:space="0" w:color="000000"/>
              <w:bottom w:val="nil"/>
              <w:right w:val="single" w:sz="12" w:space="0" w:color="000000"/>
            </w:tcBorders>
            <w:shd w:val="clear" w:color="000000" w:fill="FFFFFF"/>
            <w:vAlign w:val="center"/>
          </w:tcPr>
          <w:p w14:paraId="12D88481" w14:textId="77777777" w:rsidR="001676E4" w:rsidRPr="005952CC" w:rsidRDefault="001676E4" w:rsidP="003D66E5">
            <w:pPr>
              <w:spacing w:after="0"/>
              <w:jc w:val="right"/>
              <w:rPr>
                <w:rFonts w:cs="Arial"/>
                <w:color w:val="000000"/>
              </w:rPr>
            </w:pPr>
            <w:r w:rsidRPr="005952CC">
              <w:rPr>
                <w:rFonts w:cs="Arial"/>
                <w:color w:val="000000"/>
              </w:rPr>
              <w:t>10,6</w:t>
            </w:r>
          </w:p>
        </w:tc>
      </w:tr>
      <w:tr w:rsidR="001676E4" w:rsidRPr="005952CC" w14:paraId="3D8BC778"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56B6FA6B"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nil"/>
              <w:left w:val="single" w:sz="12" w:space="0" w:color="auto"/>
              <w:bottom w:val="nil"/>
              <w:right w:val="single" w:sz="12" w:space="0" w:color="000000"/>
            </w:tcBorders>
            <w:shd w:val="clear" w:color="000000" w:fill="FFFFFF"/>
          </w:tcPr>
          <w:p w14:paraId="44B1B05D"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2-4 razy w miesiącu</w:t>
            </w:r>
          </w:p>
        </w:tc>
        <w:tc>
          <w:tcPr>
            <w:tcW w:w="1843" w:type="dxa"/>
            <w:tcBorders>
              <w:top w:val="nil"/>
              <w:left w:val="single" w:sz="2" w:space="0" w:color="000000"/>
              <w:bottom w:val="nil"/>
              <w:right w:val="single" w:sz="12" w:space="0" w:color="000000"/>
            </w:tcBorders>
            <w:shd w:val="clear" w:color="000000" w:fill="FFFFFF"/>
            <w:vAlign w:val="center"/>
          </w:tcPr>
          <w:p w14:paraId="6FC7C34A" w14:textId="77777777" w:rsidR="001676E4" w:rsidRPr="005952CC" w:rsidRDefault="001676E4" w:rsidP="003D66E5">
            <w:pPr>
              <w:spacing w:after="0"/>
              <w:jc w:val="right"/>
              <w:rPr>
                <w:rFonts w:cs="Arial"/>
                <w:color w:val="000000"/>
              </w:rPr>
            </w:pPr>
            <w:r w:rsidRPr="005952CC">
              <w:rPr>
                <w:rFonts w:cs="Arial"/>
                <w:color w:val="000000"/>
              </w:rPr>
              <w:t>6,3</w:t>
            </w:r>
          </w:p>
        </w:tc>
        <w:tc>
          <w:tcPr>
            <w:tcW w:w="1631" w:type="dxa"/>
            <w:tcBorders>
              <w:top w:val="nil"/>
              <w:left w:val="single" w:sz="2" w:space="0" w:color="000000"/>
              <w:bottom w:val="nil"/>
              <w:right w:val="single" w:sz="12" w:space="0" w:color="000000"/>
            </w:tcBorders>
            <w:shd w:val="clear" w:color="000000" w:fill="FFFFFF"/>
            <w:vAlign w:val="center"/>
          </w:tcPr>
          <w:p w14:paraId="5D9BD01D" w14:textId="77777777" w:rsidR="001676E4" w:rsidRPr="005952CC" w:rsidRDefault="001676E4" w:rsidP="003D66E5">
            <w:pPr>
              <w:spacing w:after="0"/>
              <w:jc w:val="right"/>
              <w:rPr>
                <w:rFonts w:cs="Arial"/>
                <w:color w:val="000000"/>
              </w:rPr>
            </w:pPr>
            <w:r w:rsidRPr="005952CC">
              <w:rPr>
                <w:rFonts w:cs="Arial"/>
                <w:color w:val="000000"/>
              </w:rPr>
              <w:t>5,2</w:t>
            </w:r>
          </w:p>
        </w:tc>
      </w:tr>
      <w:tr w:rsidR="001676E4" w:rsidRPr="005952CC" w14:paraId="32E72D85" w14:textId="77777777" w:rsidTr="003D66E5">
        <w:trPr>
          <w:cantSplit/>
          <w:trHeight w:val="492"/>
        </w:trPr>
        <w:tc>
          <w:tcPr>
            <w:tcW w:w="1800" w:type="dxa"/>
            <w:vMerge/>
            <w:tcBorders>
              <w:left w:val="single" w:sz="12" w:space="0" w:color="000000"/>
              <w:bottom w:val="single" w:sz="12" w:space="0" w:color="auto"/>
              <w:right w:val="single" w:sz="12" w:space="0" w:color="auto"/>
            </w:tcBorders>
            <w:shd w:val="clear" w:color="000000" w:fill="FFFFFF"/>
          </w:tcPr>
          <w:p w14:paraId="367025C1" w14:textId="77777777" w:rsidR="001676E4" w:rsidRPr="005952CC" w:rsidRDefault="001676E4" w:rsidP="003D66E5">
            <w:pPr>
              <w:widowControl w:val="0"/>
              <w:autoSpaceDE w:val="0"/>
              <w:autoSpaceDN w:val="0"/>
              <w:adjustRightInd w:val="0"/>
              <w:spacing w:after="0"/>
              <w:rPr>
                <w:rFonts w:cs="Arial"/>
                <w:color w:val="000000"/>
              </w:rPr>
            </w:pPr>
          </w:p>
        </w:tc>
        <w:tc>
          <w:tcPr>
            <w:tcW w:w="3445" w:type="dxa"/>
            <w:tcBorders>
              <w:top w:val="nil"/>
              <w:left w:val="single" w:sz="12" w:space="0" w:color="auto"/>
              <w:bottom w:val="single" w:sz="12" w:space="0" w:color="auto"/>
              <w:right w:val="single" w:sz="12" w:space="0" w:color="000000"/>
            </w:tcBorders>
            <w:shd w:val="clear" w:color="000000" w:fill="FFFFFF"/>
          </w:tcPr>
          <w:p w14:paraId="07652AD1" w14:textId="77777777" w:rsidR="001676E4" w:rsidRPr="005952CC" w:rsidRDefault="001676E4" w:rsidP="003D66E5">
            <w:pPr>
              <w:widowControl w:val="0"/>
              <w:autoSpaceDE w:val="0"/>
              <w:autoSpaceDN w:val="0"/>
              <w:adjustRightInd w:val="0"/>
              <w:spacing w:after="0" w:line="360" w:lineRule="auto"/>
              <w:rPr>
                <w:rFonts w:cs="Arial"/>
                <w:color w:val="000000"/>
              </w:rPr>
            </w:pPr>
            <w:r w:rsidRPr="005952CC">
              <w:rPr>
                <w:rFonts w:cs="Arial"/>
                <w:color w:val="000000"/>
              </w:rPr>
              <w:t>2-3 razy w tygodniu</w:t>
            </w:r>
          </w:p>
        </w:tc>
        <w:tc>
          <w:tcPr>
            <w:tcW w:w="1843" w:type="dxa"/>
            <w:tcBorders>
              <w:top w:val="nil"/>
              <w:left w:val="single" w:sz="2" w:space="0" w:color="000000"/>
              <w:bottom w:val="single" w:sz="12" w:space="0" w:color="auto"/>
              <w:right w:val="single" w:sz="12" w:space="0" w:color="000000"/>
            </w:tcBorders>
            <w:shd w:val="clear" w:color="000000" w:fill="FFFFFF"/>
            <w:vAlign w:val="center"/>
          </w:tcPr>
          <w:p w14:paraId="4F285543" w14:textId="77777777" w:rsidR="001676E4" w:rsidRPr="005952CC" w:rsidRDefault="001676E4" w:rsidP="003D66E5">
            <w:pPr>
              <w:spacing w:after="0"/>
              <w:jc w:val="right"/>
              <w:rPr>
                <w:rFonts w:cs="Arial"/>
                <w:color w:val="000000"/>
              </w:rPr>
            </w:pPr>
            <w:r w:rsidRPr="005952CC">
              <w:rPr>
                <w:rFonts w:cs="Arial"/>
                <w:color w:val="000000"/>
              </w:rPr>
              <w:t>7,0</w:t>
            </w:r>
          </w:p>
        </w:tc>
        <w:tc>
          <w:tcPr>
            <w:tcW w:w="1631" w:type="dxa"/>
            <w:tcBorders>
              <w:top w:val="nil"/>
              <w:left w:val="single" w:sz="2" w:space="0" w:color="000000"/>
              <w:bottom w:val="single" w:sz="12" w:space="0" w:color="auto"/>
              <w:right w:val="single" w:sz="12" w:space="0" w:color="000000"/>
            </w:tcBorders>
            <w:shd w:val="clear" w:color="000000" w:fill="FFFFFF"/>
            <w:vAlign w:val="center"/>
          </w:tcPr>
          <w:p w14:paraId="595BD42A" w14:textId="77777777" w:rsidR="001676E4" w:rsidRPr="005952CC" w:rsidRDefault="001676E4" w:rsidP="003D66E5">
            <w:pPr>
              <w:spacing w:after="0"/>
              <w:jc w:val="right"/>
              <w:rPr>
                <w:rFonts w:cs="Arial"/>
                <w:color w:val="000000"/>
              </w:rPr>
            </w:pPr>
            <w:r w:rsidRPr="005952CC">
              <w:rPr>
                <w:rFonts w:cs="Arial"/>
                <w:color w:val="000000"/>
              </w:rPr>
              <w:t>4,4</w:t>
            </w:r>
          </w:p>
        </w:tc>
      </w:tr>
    </w:tbl>
    <w:p w14:paraId="7928C972"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69CA0E1F" w14:textId="3C28764E" w:rsidR="001676E4" w:rsidRPr="00317DE2" w:rsidRDefault="001676E4" w:rsidP="001676E4">
      <w:pPr>
        <w:pStyle w:val="Tekstpodstawowy"/>
        <w:spacing w:before="240" w:line="360" w:lineRule="auto"/>
        <w:ind w:firstLine="567"/>
        <w:jc w:val="both"/>
        <w:rPr>
          <w:rFonts w:ascii="Arial" w:hAnsi="Arial" w:cs="Arial"/>
          <w:bCs/>
          <w:color w:val="000000"/>
          <w:sz w:val="22"/>
          <w:szCs w:val="22"/>
        </w:rPr>
      </w:pPr>
      <w:r w:rsidRPr="00317DE2">
        <w:rPr>
          <w:rFonts w:ascii="Arial" w:hAnsi="Arial" w:cs="Arial"/>
          <w:bCs/>
          <w:color w:val="000000"/>
          <w:sz w:val="22"/>
          <w:szCs w:val="22"/>
        </w:rPr>
        <w:t>Uczniowie, jeśli grają w gry hazardowe najczęściej poświęcają na to mniej niż 30 minut w</w:t>
      </w:r>
      <w:r>
        <w:rPr>
          <w:rFonts w:ascii="Arial" w:hAnsi="Arial" w:cs="Arial"/>
          <w:bCs/>
          <w:color w:val="000000"/>
          <w:sz w:val="22"/>
          <w:szCs w:val="22"/>
        </w:rPr>
        <w:t> </w:t>
      </w:r>
      <w:r w:rsidRPr="00317DE2">
        <w:rPr>
          <w:rFonts w:ascii="Arial" w:hAnsi="Arial" w:cs="Arial"/>
          <w:bCs/>
          <w:color w:val="000000"/>
          <w:sz w:val="22"/>
          <w:szCs w:val="22"/>
        </w:rPr>
        <w:t>ciągu dnia. Robi tak 8,9% uczniów z młodszej kohorty oraz 12,9% uczniów ze starszej kohorty. Porównanie wyników uzyskanych w województwie lubelskim z wynikami w całym kraju nie pokazuje istotnych różnic między analizowanymi obszarami.</w:t>
      </w:r>
    </w:p>
    <w:p w14:paraId="078CAE0E" w14:textId="77777777" w:rsidR="001676E4" w:rsidRPr="00317DE2" w:rsidRDefault="001676E4" w:rsidP="001676E4">
      <w:pPr>
        <w:pStyle w:val="Tekstpodstawowy"/>
        <w:spacing w:line="360" w:lineRule="auto"/>
        <w:jc w:val="both"/>
        <w:rPr>
          <w:rFonts w:ascii="Arial" w:hAnsi="Arial" w:cs="Arial"/>
          <w:b/>
          <w:bCs/>
          <w:color w:val="000000"/>
          <w:sz w:val="22"/>
          <w:szCs w:val="22"/>
        </w:rPr>
      </w:pPr>
    </w:p>
    <w:p w14:paraId="3AFE0D0D" w14:textId="77777777" w:rsidR="001676E4" w:rsidRPr="00317DE2" w:rsidRDefault="001676E4" w:rsidP="001676E4">
      <w:pPr>
        <w:pStyle w:val="Tekstpodstawowy"/>
        <w:jc w:val="both"/>
        <w:rPr>
          <w:rFonts w:ascii="Arial" w:hAnsi="Arial" w:cs="Arial"/>
          <w:b/>
          <w:bCs/>
          <w:color w:val="000000"/>
          <w:sz w:val="22"/>
          <w:szCs w:val="22"/>
        </w:rPr>
      </w:pPr>
      <w:r w:rsidRPr="00317DE2">
        <w:rPr>
          <w:rFonts w:ascii="Arial" w:hAnsi="Arial" w:cs="Arial"/>
          <w:b/>
          <w:bCs/>
          <w:color w:val="000000"/>
          <w:sz w:val="22"/>
          <w:szCs w:val="22"/>
        </w:rPr>
        <w:br w:type="page"/>
      </w:r>
    </w:p>
    <w:p w14:paraId="3F478DE1" w14:textId="20C93CBF" w:rsidR="001676E4" w:rsidRPr="00A43860" w:rsidRDefault="001676E4" w:rsidP="001676E4">
      <w:pPr>
        <w:pStyle w:val="Legenda"/>
        <w:keepNext/>
        <w:rPr>
          <w:sz w:val="20"/>
          <w:szCs w:val="16"/>
        </w:rPr>
      </w:pPr>
      <w:bookmarkStart w:id="104" w:name="_Toc214279708"/>
      <w:r w:rsidRPr="00A43860">
        <w:rPr>
          <w:sz w:val="20"/>
          <w:szCs w:val="16"/>
        </w:rPr>
        <w:lastRenderedPageBreak/>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23</w:t>
      </w:r>
      <w:r w:rsidRPr="00A43860">
        <w:rPr>
          <w:sz w:val="20"/>
          <w:szCs w:val="16"/>
        </w:rPr>
        <w:fldChar w:fldCharType="end"/>
      </w:r>
      <w:r w:rsidRPr="00A43860">
        <w:rPr>
          <w:sz w:val="20"/>
          <w:szCs w:val="16"/>
        </w:rPr>
        <w:t>. Czas spędzany na grach hazardowych typowego dnia w czasie ostatnich 12 miesięcy</w:t>
      </w:r>
      <w:bookmarkEnd w:id="104"/>
    </w:p>
    <w:tbl>
      <w:tblPr>
        <w:tblW w:w="9180"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951"/>
        <w:gridCol w:w="3260"/>
        <w:gridCol w:w="1984"/>
        <w:gridCol w:w="1985"/>
      </w:tblGrid>
      <w:tr w:rsidR="001676E4" w:rsidRPr="0092722E" w14:paraId="34DF5DEF" w14:textId="77777777" w:rsidTr="003D66E5">
        <w:trPr>
          <w:trHeight w:val="285"/>
        </w:trPr>
        <w:tc>
          <w:tcPr>
            <w:tcW w:w="1951" w:type="dxa"/>
            <w:tcBorders>
              <w:bottom w:val="single" w:sz="12" w:space="0" w:color="auto"/>
            </w:tcBorders>
          </w:tcPr>
          <w:p w14:paraId="371AC8A1" w14:textId="77777777" w:rsidR="001676E4" w:rsidRPr="0092722E" w:rsidRDefault="001676E4" w:rsidP="003D66E5">
            <w:pPr>
              <w:widowControl w:val="0"/>
              <w:tabs>
                <w:tab w:val="center" w:pos="3456"/>
              </w:tabs>
              <w:autoSpaceDE w:val="0"/>
              <w:autoSpaceDN w:val="0"/>
              <w:adjustRightInd w:val="0"/>
              <w:spacing w:line="360" w:lineRule="auto"/>
              <w:jc w:val="center"/>
              <w:rPr>
                <w:rFonts w:cs="Arial"/>
                <w:b/>
                <w:bCs/>
                <w:sz w:val="18"/>
                <w:szCs w:val="18"/>
              </w:rPr>
            </w:pPr>
            <w:r w:rsidRPr="0092722E">
              <w:rPr>
                <w:rFonts w:cs="Arial"/>
                <w:b/>
                <w:bCs/>
                <w:color w:val="000000"/>
                <w:sz w:val="18"/>
                <w:szCs w:val="18"/>
              </w:rPr>
              <w:t>Kohorta</w:t>
            </w:r>
          </w:p>
        </w:tc>
        <w:tc>
          <w:tcPr>
            <w:tcW w:w="3260" w:type="dxa"/>
          </w:tcPr>
          <w:p w14:paraId="198FA4CD" w14:textId="77777777" w:rsidR="001676E4" w:rsidRPr="0092722E" w:rsidRDefault="001676E4" w:rsidP="003D66E5">
            <w:pPr>
              <w:widowControl w:val="0"/>
              <w:tabs>
                <w:tab w:val="center" w:pos="3456"/>
              </w:tabs>
              <w:autoSpaceDE w:val="0"/>
              <w:autoSpaceDN w:val="0"/>
              <w:adjustRightInd w:val="0"/>
              <w:spacing w:line="360" w:lineRule="auto"/>
              <w:jc w:val="center"/>
              <w:rPr>
                <w:rFonts w:cs="Arial"/>
                <w:b/>
                <w:bCs/>
                <w:sz w:val="18"/>
                <w:szCs w:val="18"/>
              </w:rPr>
            </w:pPr>
          </w:p>
        </w:tc>
        <w:tc>
          <w:tcPr>
            <w:tcW w:w="1984" w:type="dxa"/>
          </w:tcPr>
          <w:p w14:paraId="36B21DEC" w14:textId="77777777" w:rsidR="001676E4" w:rsidRPr="0092722E" w:rsidRDefault="001676E4" w:rsidP="003D66E5">
            <w:pPr>
              <w:widowControl w:val="0"/>
              <w:tabs>
                <w:tab w:val="center" w:pos="3456"/>
              </w:tabs>
              <w:autoSpaceDE w:val="0"/>
              <w:autoSpaceDN w:val="0"/>
              <w:adjustRightInd w:val="0"/>
              <w:spacing w:line="360" w:lineRule="auto"/>
              <w:jc w:val="center"/>
              <w:rPr>
                <w:rFonts w:cs="Arial"/>
                <w:b/>
                <w:bCs/>
                <w:sz w:val="18"/>
                <w:szCs w:val="18"/>
              </w:rPr>
            </w:pPr>
            <w:r w:rsidRPr="0092722E">
              <w:rPr>
                <w:rFonts w:cs="Arial"/>
                <w:b/>
                <w:bCs/>
                <w:sz w:val="18"/>
                <w:szCs w:val="18"/>
              </w:rPr>
              <w:t>Lubelskie</w:t>
            </w:r>
          </w:p>
        </w:tc>
        <w:tc>
          <w:tcPr>
            <w:tcW w:w="1985" w:type="dxa"/>
          </w:tcPr>
          <w:p w14:paraId="6A32AB37" w14:textId="77777777" w:rsidR="001676E4" w:rsidRPr="0092722E" w:rsidRDefault="001676E4" w:rsidP="003D66E5">
            <w:pPr>
              <w:widowControl w:val="0"/>
              <w:tabs>
                <w:tab w:val="center" w:pos="3456"/>
              </w:tabs>
              <w:autoSpaceDE w:val="0"/>
              <w:autoSpaceDN w:val="0"/>
              <w:adjustRightInd w:val="0"/>
              <w:spacing w:line="360" w:lineRule="auto"/>
              <w:jc w:val="center"/>
              <w:rPr>
                <w:rFonts w:cs="Arial"/>
                <w:b/>
                <w:bCs/>
                <w:sz w:val="18"/>
                <w:szCs w:val="18"/>
              </w:rPr>
            </w:pPr>
            <w:r w:rsidRPr="0092722E">
              <w:rPr>
                <w:rFonts w:cs="Arial"/>
                <w:b/>
                <w:bCs/>
                <w:sz w:val="18"/>
                <w:szCs w:val="18"/>
              </w:rPr>
              <w:t>Polska</w:t>
            </w:r>
          </w:p>
        </w:tc>
      </w:tr>
      <w:tr w:rsidR="001676E4" w:rsidRPr="005952CC" w14:paraId="029948BB"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val="restart"/>
            <w:tcBorders>
              <w:top w:val="single" w:sz="12" w:space="0" w:color="auto"/>
              <w:left w:val="single" w:sz="12" w:space="0" w:color="auto"/>
              <w:right w:val="single" w:sz="4" w:space="0" w:color="auto"/>
            </w:tcBorders>
          </w:tcPr>
          <w:p w14:paraId="78236473"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Młodsza kohorta (15-16 lat)</w:t>
            </w:r>
          </w:p>
          <w:p w14:paraId="00D18CB0"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left w:val="single" w:sz="12" w:space="0" w:color="auto"/>
              <w:bottom w:val="nil"/>
              <w:right w:val="single" w:sz="4" w:space="0" w:color="auto"/>
            </w:tcBorders>
          </w:tcPr>
          <w:p w14:paraId="020EE7A0" w14:textId="77777777" w:rsidR="001676E4" w:rsidRPr="005952CC" w:rsidRDefault="001676E4" w:rsidP="003D66E5">
            <w:pPr>
              <w:spacing w:after="120"/>
              <w:rPr>
                <w:rFonts w:cs="Arial"/>
                <w:color w:val="000000"/>
                <w:sz w:val="18"/>
                <w:szCs w:val="18"/>
              </w:rPr>
            </w:pPr>
            <w:r w:rsidRPr="005952CC">
              <w:rPr>
                <w:rFonts w:cs="Arial"/>
                <w:color w:val="000000"/>
                <w:sz w:val="18"/>
                <w:szCs w:val="18"/>
              </w:rPr>
              <w:t>Nie w czasie ostatnich 12 miesięcy</w:t>
            </w:r>
          </w:p>
        </w:tc>
        <w:tc>
          <w:tcPr>
            <w:tcW w:w="1984" w:type="dxa"/>
            <w:tcBorders>
              <w:left w:val="single" w:sz="4" w:space="0" w:color="auto"/>
              <w:bottom w:val="nil"/>
              <w:right w:val="single" w:sz="12" w:space="0" w:color="auto"/>
            </w:tcBorders>
            <w:noWrap/>
            <w:vAlign w:val="center"/>
          </w:tcPr>
          <w:p w14:paraId="10D894A2" w14:textId="77777777" w:rsidR="001676E4" w:rsidRPr="005952CC" w:rsidRDefault="001676E4" w:rsidP="003D66E5">
            <w:pPr>
              <w:jc w:val="right"/>
              <w:rPr>
                <w:rFonts w:cs="Arial"/>
                <w:color w:val="000000"/>
                <w:sz w:val="18"/>
                <w:szCs w:val="18"/>
              </w:rPr>
            </w:pPr>
            <w:r w:rsidRPr="005952CC">
              <w:rPr>
                <w:rFonts w:cs="Arial"/>
                <w:color w:val="000000"/>
                <w:sz w:val="18"/>
                <w:szCs w:val="18"/>
              </w:rPr>
              <w:t>79,8</w:t>
            </w:r>
          </w:p>
        </w:tc>
        <w:tc>
          <w:tcPr>
            <w:tcW w:w="1985" w:type="dxa"/>
            <w:tcBorders>
              <w:left w:val="single" w:sz="4" w:space="0" w:color="auto"/>
              <w:bottom w:val="nil"/>
              <w:right w:val="single" w:sz="12" w:space="0" w:color="auto"/>
            </w:tcBorders>
            <w:vAlign w:val="center"/>
          </w:tcPr>
          <w:p w14:paraId="5FCACFF8" w14:textId="77777777" w:rsidR="001676E4" w:rsidRPr="005952CC" w:rsidRDefault="001676E4" w:rsidP="003D66E5">
            <w:pPr>
              <w:jc w:val="right"/>
              <w:rPr>
                <w:rFonts w:cs="Arial"/>
                <w:color w:val="000000"/>
                <w:sz w:val="18"/>
                <w:szCs w:val="18"/>
              </w:rPr>
            </w:pPr>
            <w:r w:rsidRPr="005952CC">
              <w:rPr>
                <w:rFonts w:cs="Arial"/>
                <w:color w:val="000000"/>
                <w:sz w:val="18"/>
                <w:szCs w:val="18"/>
              </w:rPr>
              <w:t>79,9</w:t>
            </w:r>
          </w:p>
        </w:tc>
      </w:tr>
      <w:tr w:rsidR="001676E4" w:rsidRPr="005952CC" w14:paraId="3BA0AE89"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4D87F1D1"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7354CE7E" w14:textId="77777777" w:rsidR="001676E4" w:rsidRPr="005952CC" w:rsidRDefault="001676E4" w:rsidP="003D66E5">
            <w:pPr>
              <w:spacing w:after="120"/>
              <w:rPr>
                <w:rFonts w:cs="Arial"/>
                <w:color w:val="000000"/>
                <w:sz w:val="18"/>
                <w:szCs w:val="18"/>
              </w:rPr>
            </w:pPr>
            <w:r w:rsidRPr="005952CC">
              <w:rPr>
                <w:rFonts w:cs="Arial"/>
                <w:color w:val="000000"/>
                <w:sz w:val="18"/>
                <w:szCs w:val="18"/>
              </w:rPr>
              <w:t>Mniej niż 30 minut</w:t>
            </w:r>
          </w:p>
        </w:tc>
        <w:tc>
          <w:tcPr>
            <w:tcW w:w="1984" w:type="dxa"/>
            <w:tcBorders>
              <w:top w:val="nil"/>
              <w:bottom w:val="nil"/>
              <w:right w:val="single" w:sz="12" w:space="0" w:color="auto"/>
            </w:tcBorders>
            <w:noWrap/>
            <w:vAlign w:val="center"/>
          </w:tcPr>
          <w:p w14:paraId="1782BA60" w14:textId="77777777" w:rsidR="001676E4" w:rsidRPr="005952CC" w:rsidRDefault="001676E4" w:rsidP="003D66E5">
            <w:pPr>
              <w:jc w:val="right"/>
              <w:rPr>
                <w:rFonts w:cs="Arial"/>
                <w:color w:val="000000"/>
                <w:sz w:val="18"/>
                <w:szCs w:val="18"/>
              </w:rPr>
            </w:pPr>
            <w:r w:rsidRPr="005952CC">
              <w:rPr>
                <w:rFonts w:cs="Arial"/>
                <w:color w:val="000000"/>
                <w:sz w:val="18"/>
                <w:szCs w:val="18"/>
              </w:rPr>
              <w:t>8,9</w:t>
            </w:r>
          </w:p>
        </w:tc>
        <w:tc>
          <w:tcPr>
            <w:tcW w:w="1985" w:type="dxa"/>
            <w:tcBorders>
              <w:top w:val="nil"/>
              <w:bottom w:val="nil"/>
              <w:right w:val="single" w:sz="12" w:space="0" w:color="auto"/>
            </w:tcBorders>
            <w:vAlign w:val="center"/>
          </w:tcPr>
          <w:p w14:paraId="0D34BF6F" w14:textId="77777777" w:rsidR="001676E4" w:rsidRPr="005952CC" w:rsidRDefault="001676E4" w:rsidP="003D66E5">
            <w:pPr>
              <w:jc w:val="right"/>
              <w:rPr>
                <w:rFonts w:cs="Arial"/>
                <w:color w:val="000000"/>
                <w:sz w:val="18"/>
                <w:szCs w:val="18"/>
              </w:rPr>
            </w:pPr>
            <w:r w:rsidRPr="005952CC">
              <w:rPr>
                <w:rFonts w:cs="Arial"/>
                <w:color w:val="000000"/>
                <w:sz w:val="18"/>
                <w:szCs w:val="18"/>
              </w:rPr>
              <w:t>9,7</w:t>
            </w:r>
          </w:p>
        </w:tc>
      </w:tr>
      <w:tr w:rsidR="001676E4" w:rsidRPr="005952CC" w14:paraId="0279C89D"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1E5493DD"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2DB953D0" w14:textId="77777777" w:rsidR="001676E4" w:rsidRPr="005952CC" w:rsidRDefault="001676E4" w:rsidP="003D66E5">
            <w:pPr>
              <w:spacing w:after="120"/>
              <w:rPr>
                <w:rFonts w:cs="Arial"/>
                <w:color w:val="000000"/>
                <w:sz w:val="18"/>
                <w:szCs w:val="18"/>
              </w:rPr>
            </w:pPr>
            <w:r w:rsidRPr="005952CC">
              <w:rPr>
                <w:rFonts w:cs="Arial"/>
                <w:color w:val="000000"/>
                <w:sz w:val="18"/>
                <w:szCs w:val="18"/>
              </w:rPr>
              <w:t>Między 30 minut a 1 godzina</w:t>
            </w:r>
          </w:p>
        </w:tc>
        <w:tc>
          <w:tcPr>
            <w:tcW w:w="1984" w:type="dxa"/>
            <w:tcBorders>
              <w:top w:val="nil"/>
              <w:bottom w:val="nil"/>
              <w:right w:val="single" w:sz="12" w:space="0" w:color="auto"/>
            </w:tcBorders>
            <w:noWrap/>
            <w:vAlign w:val="center"/>
          </w:tcPr>
          <w:p w14:paraId="39D113D3" w14:textId="77777777" w:rsidR="001676E4" w:rsidRPr="005952CC" w:rsidRDefault="001676E4" w:rsidP="003D66E5">
            <w:pPr>
              <w:jc w:val="right"/>
              <w:rPr>
                <w:rFonts w:cs="Arial"/>
                <w:color w:val="000000"/>
                <w:sz w:val="18"/>
                <w:szCs w:val="18"/>
              </w:rPr>
            </w:pPr>
            <w:r w:rsidRPr="005952CC">
              <w:rPr>
                <w:rFonts w:cs="Arial"/>
                <w:color w:val="000000"/>
                <w:sz w:val="18"/>
                <w:szCs w:val="18"/>
              </w:rPr>
              <w:t>4,3</w:t>
            </w:r>
          </w:p>
        </w:tc>
        <w:tc>
          <w:tcPr>
            <w:tcW w:w="1985" w:type="dxa"/>
            <w:tcBorders>
              <w:top w:val="nil"/>
              <w:bottom w:val="nil"/>
              <w:right w:val="single" w:sz="12" w:space="0" w:color="auto"/>
            </w:tcBorders>
            <w:vAlign w:val="center"/>
          </w:tcPr>
          <w:p w14:paraId="24F26783" w14:textId="77777777" w:rsidR="001676E4" w:rsidRPr="005952CC" w:rsidRDefault="001676E4" w:rsidP="003D66E5">
            <w:pPr>
              <w:jc w:val="right"/>
              <w:rPr>
                <w:rFonts w:cs="Arial"/>
                <w:color w:val="000000"/>
                <w:sz w:val="18"/>
                <w:szCs w:val="18"/>
              </w:rPr>
            </w:pPr>
            <w:r w:rsidRPr="005952CC">
              <w:rPr>
                <w:rFonts w:cs="Arial"/>
                <w:color w:val="000000"/>
                <w:sz w:val="18"/>
                <w:szCs w:val="18"/>
              </w:rPr>
              <w:t>4,0</w:t>
            </w:r>
          </w:p>
        </w:tc>
      </w:tr>
      <w:tr w:rsidR="001676E4" w:rsidRPr="005952CC" w14:paraId="69A80882"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1511CF1B"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67430EC2" w14:textId="77777777" w:rsidR="001676E4" w:rsidRPr="005952CC" w:rsidRDefault="001676E4" w:rsidP="003D66E5">
            <w:pPr>
              <w:spacing w:after="120"/>
              <w:rPr>
                <w:rFonts w:cs="Arial"/>
                <w:color w:val="000000"/>
                <w:sz w:val="18"/>
                <w:szCs w:val="18"/>
              </w:rPr>
            </w:pPr>
            <w:r w:rsidRPr="005952CC">
              <w:rPr>
                <w:rFonts w:cs="Arial"/>
                <w:color w:val="000000"/>
                <w:sz w:val="18"/>
                <w:szCs w:val="18"/>
              </w:rPr>
              <w:t>Między 1 godzina a 2 godziny</w:t>
            </w:r>
          </w:p>
        </w:tc>
        <w:tc>
          <w:tcPr>
            <w:tcW w:w="1984" w:type="dxa"/>
            <w:tcBorders>
              <w:top w:val="nil"/>
              <w:bottom w:val="nil"/>
              <w:right w:val="single" w:sz="12" w:space="0" w:color="auto"/>
            </w:tcBorders>
            <w:noWrap/>
            <w:vAlign w:val="center"/>
          </w:tcPr>
          <w:p w14:paraId="129A120E" w14:textId="77777777" w:rsidR="001676E4" w:rsidRPr="005952CC" w:rsidRDefault="001676E4" w:rsidP="003D66E5">
            <w:pPr>
              <w:jc w:val="right"/>
              <w:rPr>
                <w:rFonts w:cs="Arial"/>
                <w:color w:val="000000"/>
                <w:sz w:val="18"/>
                <w:szCs w:val="18"/>
              </w:rPr>
            </w:pPr>
            <w:r w:rsidRPr="005952CC">
              <w:rPr>
                <w:rFonts w:cs="Arial"/>
                <w:color w:val="000000"/>
                <w:sz w:val="18"/>
                <w:szCs w:val="18"/>
              </w:rPr>
              <w:t>2,7</w:t>
            </w:r>
          </w:p>
        </w:tc>
        <w:tc>
          <w:tcPr>
            <w:tcW w:w="1985" w:type="dxa"/>
            <w:tcBorders>
              <w:top w:val="nil"/>
              <w:bottom w:val="nil"/>
              <w:right w:val="single" w:sz="12" w:space="0" w:color="auto"/>
            </w:tcBorders>
            <w:vAlign w:val="center"/>
          </w:tcPr>
          <w:p w14:paraId="3BB353F1" w14:textId="77777777" w:rsidR="001676E4" w:rsidRPr="005952CC" w:rsidRDefault="001676E4" w:rsidP="003D66E5">
            <w:pPr>
              <w:jc w:val="right"/>
              <w:rPr>
                <w:rFonts w:cs="Arial"/>
                <w:color w:val="000000"/>
                <w:sz w:val="18"/>
                <w:szCs w:val="18"/>
              </w:rPr>
            </w:pPr>
            <w:r w:rsidRPr="005952CC">
              <w:rPr>
                <w:rFonts w:cs="Arial"/>
                <w:color w:val="000000"/>
                <w:sz w:val="18"/>
                <w:szCs w:val="18"/>
              </w:rPr>
              <w:t>2,1</w:t>
            </w:r>
          </w:p>
        </w:tc>
      </w:tr>
      <w:tr w:rsidR="001676E4" w:rsidRPr="005952CC" w14:paraId="09EBA0CC"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6E5B59C3"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418F7551" w14:textId="77777777" w:rsidR="001676E4" w:rsidRPr="005952CC" w:rsidRDefault="001676E4" w:rsidP="003D66E5">
            <w:pPr>
              <w:spacing w:after="120"/>
              <w:rPr>
                <w:rFonts w:cs="Arial"/>
                <w:color w:val="000000"/>
                <w:sz w:val="18"/>
                <w:szCs w:val="18"/>
              </w:rPr>
            </w:pPr>
            <w:r w:rsidRPr="005952CC">
              <w:rPr>
                <w:rFonts w:cs="Arial"/>
                <w:color w:val="000000"/>
                <w:sz w:val="18"/>
                <w:szCs w:val="18"/>
              </w:rPr>
              <w:t>Między 2 godziny a 3 godziny</w:t>
            </w:r>
          </w:p>
        </w:tc>
        <w:tc>
          <w:tcPr>
            <w:tcW w:w="1984" w:type="dxa"/>
            <w:tcBorders>
              <w:top w:val="nil"/>
              <w:bottom w:val="nil"/>
              <w:right w:val="single" w:sz="12" w:space="0" w:color="auto"/>
            </w:tcBorders>
            <w:noWrap/>
            <w:vAlign w:val="center"/>
          </w:tcPr>
          <w:p w14:paraId="3794786C" w14:textId="77777777" w:rsidR="001676E4" w:rsidRPr="005952CC" w:rsidRDefault="001676E4" w:rsidP="003D66E5">
            <w:pPr>
              <w:jc w:val="right"/>
              <w:rPr>
                <w:rFonts w:cs="Arial"/>
                <w:color w:val="000000"/>
                <w:sz w:val="18"/>
                <w:szCs w:val="18"/>
              </w:rPr>
            </w:pPr>
            <w:r w:rsidRPr="005952CC">
              <w:rPr>
                <w:rFonts w:cs="Arial"/>
                <w:color w:val="000000"/>
                <w:sz w:val="18"/>
                <w:szCs w:val="18"/>
              </w:rPr>
              <w:t>1,2</w:t>
            </w:r>
          </w:p>
        </w:tc>
        <w:tc>
          <w:tcPr>
            <w:tcW w:w="1985" w:type="dxa"/>
            <w:tcBorders>
              <w:top w:val="nil"/>
              <w:bottom w:val="nil"/>
              <w:right w:val="single" w:sz="12" w:space="0" w:color="auto"/>
            </w:tcBorders>
            <w:vAlign w:val="center"/>
          </w:tcPr>
          <w:p w14:paraId="55DC9276" w14:textId="77777777" w:rsidR="001676E4" w:rsidRPr="005952CC" w:rsidRDefault="001676E4" w:rsidP="003D66E5">
            <w:pPr>
              <w:jc w:val="right"/>
              <w:rPr>
                <w:rFonts w:cs="Arial"/>
                <w:color w:val="000000"/>
                <w:sz w:val="18"/>
                <w:szCs w:val="18"/>
              </w:rPr>
            </w:pPr>
            <w:r w:rsidRPr="005952CC">
              <w:rPr>
                <w:rFonts w:cs="Arial"/>
                <w:color w:val="000000"/>
                <w:sz w:val="18"/>
                <w:szCs w:val="18"/>
              </w:rPr>
              <w:t>1,2</w:t>
            </w:r>
          </w:p>
        </w:tc>
      </w:tr>
      <w:tr w:rsidR="001676E4" w:rsidRPr="005952CC" w14:paraId="634ED4FB"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2F84631D"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single" w:sz="4" w:space="0" w:color="auto"/>
            </w:tcBorders>
          </w:tcPr>
          <w:p w14:paraId="04DB2170" w14:textId="77777777" w:rsidR="001676E4" w:rsidRPr="005952CC" w:rsidRDefault="001676E4" w:rsidP="003D66E5">
            <w:pPr>
              <w:spacing w:after="120"/>
              <w:rPr>
                <w:rFonts w:cs="Arial"/>
                <w:color w:val="000000"/>
                <w:sz w:val="18"/>
                <w:szCs w:val="18"/>
              </w:rPr>
            </w:pPr>
            <w:r w:rsidRPr="005952CC">
              <w:rPr>
                <w:rFonts w:cs="Arial"/>
                <w:color w:val="000000"/>
                <w:sz w:val="18"/>
                <w:szCs w:val="18"/>
              </w:rPr>
              <w:t>3 godziny lub więcej</w:t>
            </w:r>
          </w:p>
        </w:tc>
        <w:tc>
          <w:tcPr>
            <w:tcW w:w="1984" w:type="dxa"/>
            <w:tcBorders>
              <w:top w:val="nil"/>
              <w:bottom w:val="single" w:sz="4" w:space="0" w:color="auto"/>
              <w:right w:val="single" w:sz="12" w:space="0" w:color="auto"/>
            </w:tcBorders>
            <w:noWrap/>
            <w:vAlign w:val="center"/>
          </w:tcPr>
          <w:p w14:paraId="659E6741" w14:textId="77777777" w:rsidR="001676E4" w:rsidRPr="005952CC" w:rsidRDefault="001676E4" w:rsidP="003D66E5">
            <w:pPr>
              <w:jc w:val="right"/>
              <w:rPr>
                <w:rFonts w:cs="Arial"/>
                <w:color w:val="000000"/>
                <w:sz w:val="18"/>
                <w:szCs w:val="18"/>
              </w:rPr>
            </w:pPr>
            <w:r w:rsidRPr="005952CC">
              <w:rPr>
                <w:rFonts w:cs="Arial"/>
                <w:color w:val="000000"/>
                <w:sz w:val="18"/>
                <w:szCs w:val="18"/>
              </w:rPr>
              <w:t>3,1</w:t>
            </w:r>
          </w:p>
        </w:tc>
        <w:tc>
          <w:tcPr>
            <w:tcW w:w="1985" w:type="dxa"/>
            <w:tcBorders>
              <w:top w:val="nil"/>
              <w:bottom w:val="single" w:sz="4" w:space="0" w:color="auto"/>
              <w:right w:val="single" w:sz="12" w:space="0" w:color="auto"/>
            </w:tcBorders>
            <w:vAlign w:val="center"/>
          </w:tcPr>
          <w:p w14:paraId="08EC10D8" w14:textId="77777777" w:rsidR="001676E4" w:rsidRPr="005952CC" w:rsidRDefault="001676E4" w:rsidP="003D66E5">
            <w:pPr>
              <w:jc w:val="right"/>
              <w:rPr>
                <w:rFonts w:cs="Arial"/>
                <w:color w:val="000000"/>
                <w:sz w:val="18"/>
                <w:szCs w:val="18"/>
              </w:rPr>
            </w:pPr>
            <w:r w:rsidRPr="005952CC">
              <w:rPr>
                <w:rFonts w:cs="Arial"/>
                <w:color w:val="000000"/>
                <w:sz w:val="18"/>
                <w:szCs w:val="18"/>
              </w:rPr>
              <w:t>3,1</w:t>
            </w:r>
          </w:p>
        </w:tc>
      </w:tr>
      <w:tr w:rsidR="001676E4" w:rsidRPr="005952CC" w14:paraId="03CFDE29"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val="restart"/>
            <w:tcBorders>
              <w:left w:val="single" w:sz="12" w:space="0" w:color="auto"/>
              <w:bottom w:val="single" w:sz="12" w:space="0" w:color="auto"/>
            </w:tcBorders>
          </w:tcPr>
          <w:p w14:paraId="624D88F5"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Starsza kohorta (17-18 lat)</w:t>
            </w:r>
          </w:p>
          <w:p w14:paraId="538C0ECC"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left w:val="single" w:sz="12" w:space="0" w:color="auto"/>
              <w:bottom w:val="nil"/>
            </w:tcBorders>
          </w:tcPr>
          <w:p w14:paraId="3F208240" w14:textId="77777777" w:rsidR="001676E4" w:rsidRPr="005952CC" w:rsidRDefault="001676E4" w:rsidP="003D66E5">
            <w:pPr>
              <w:spacing w:after="120"/>
              <w:rPr>
                <w:rFonts w:cs="Arial"/>
                <w:color w:val="000000"/>
                <w:sz w:val="18"/>
                <w:szCs w:val="18"/>
              </w:rPr>
            </w:pPr>
            <w:r w:rsidRPr="005952CC">
              <w:rPr>
                <w:rFonts w:cs="Arial"/>
                <w:color w:val="000000"/>
                <w:sz w:val="18"/>
                <w:szCs w:val="18"/>
              </w:rPr>
              <w:t>Nie w czasie ostatnich 12 miesięcy</w:t>
            </w:r>
          </w:p>
        </w:tc>
        <w:tc>
          <w:tcPr>
            <w:tcW w:w="1984" w:type="dxa"/>
            <w:tcBorders>
              <w:bottom w:val="nil"/>
              <w:right w:val="single" w:sz="12" w:space="0" w:color="auto"/>
            </w:tcBorders>
            <w:noWrap/>
            <w:vAlign w:val="center"/>
          </w:tcPr>
          <w:p w14:paraId="5D31986E" w14:textId="77777777" w:rsidR="001676E4" w:rsidRPr="005952CC" w:rsidRDefault="001676E4" w:rsidP="003D66E5">
            <w:pPr>
              <w:jc w:val="right"/>
              <w:rPr>
                <w:rFonts w:cs="Arial"/>
                <w:color w:val="000000"/>
                <w:sz w:val="18"/>
                <w:szCs w:val="18"/>
              </w:rPr>
            </w:pPr>
            <w:r w:rsidRPr="005952CC">
              <w:rPr>
                <w:rFonts w:cs="Arial"/>
                <w:color w:val="000000"/>
                <w:sz w:val="18"/>
                <w:szCs w:val="18"/>
              </w:rPr>
              <w:t>75,6</w:t>
            </w:r>
          </w:p>
        </w:tc>
        <w:tc>
          <w:tcPr>
            <w:tcW w:w="1985" w:type="dxa"/>
            <w:tcBorders>
              <w:bottom w:val="nil"/>
              <w:right w:val="single" w:sz="12" w:space="0" w:color="auto"/>
            </w:tcBorders>
            <w:vAlign w:val="center"/>
          </w:tcPr>
          <w:p w14:paraId="52B1A33B" w14:textId="77777777" w:rsidR="001676E4" w:rsidRPr="005952CC" w:rsidRDefault="001676E4" w:rsidP="003D66E5">
            <w:pPr>
              <w:jc w:val="right"/>
              <w:rPr>
                <w:rFonts w:cs="Arial"/>
                <w:color w:val="000000"/>
                <w:sz w:val="18"/>
                <w:szCs w:val="18"/>
              </w:rPr>
            </w:pPr>
            <w:r w:rsidRPr="005952CC">
              <w:rPr>
                <w:rFonts w:cs="Arial"/>
                <w:color w:val="000000"/>
                <w:sz w:val="18"/>
                <w:szCs w:val="18"/>
              </w:rPr>
              <w:t>80,3</w:t>
            </w:r>
          </w:p>
        </w:tc>
      </w:tr>
      <w:tr w:rsidR="001676E4" w:rsidRPr="005952CC" w14:paraId="0B101D72"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588A888F"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55A5C298" w14:textId="77777777" w:rsidR="001676E4" w:rsidRPr="005952CC" w:rsidRDefault="001676E4" w:rsidP="003D66E5">
            <w:pPr>
              <w:spacing w:after="120"/>
              <w:rPr>
                <w:rFonts w:cs="Arial"/>
                <w:color w:val="000000"/>
                <w:sz w:val="18"/>
                <w:szCs w:val="18"/>
              </w:rPr>
            </w:pPr>
            <w:r w:rsidRPr="005952CC">
              <w:rPr>
                <w:rFonts w:cs="Arial"/>
                <w:color w:val="000000"/>
                <w:sz w:val="18"/>
                <w:szCs w:val="18"/>
              </w:rPr>
              <w:t>Mniej niż 30 minut</w:t>
            </w:r>
          </w:p>
        </w:tc>
        <w:tc>
          <w:tcPr>
            <w:tcW w:w="1984" w:type="dxa"/>
            <w:tcBorders>
              <w:top w:val="nil"/>
              <w:bottom w:val="nil"/>
              <w:right w:val="single" w:sz="12" w:space="0" w:color="auto"/>
            </w:tcBorders>
            <w:noWrap/>
            <w:vAlign w:val="center"/>
          </w:tcPr>
          <w:p w14:paraId="53272998" w14:textId="77777777" w:rsidR="001676E4" w:rsidRPr="005952CC" w:rsidRDefault="001676E4" w:rsidP="003D66E5">
            <w:pPr>
              <w:jc w:val="right"/>
              <w:rPr>
                <w:rFonts w:cs="Arial"/>
                <w:color w:val="000000"/>
                <w:sz w:val="18"/>
                <w:szCs w:val="18"/>
              </w:rPr>
            </w:pPr>
            <w:r w:rsidRPr="005952CC">
              <w:rPr>
                <w:rFonts w:cs="Arial"/>
                <w:color w:val="000000"/>
                <w:sz w:val="18"/>
                <w:szCs w:val="18"/>
              </w:rPr>
              <w:t>12,9</w:t>
            </w:r>
          </w:p>
        </w:tc>
        <w:tc>
          <w:tcPr>
            <w:tcW w:w="1985" w:type="dxa"/>
            <w:tcBorders>
              <w:top w:val="nil"/>
              <w:bottom w:val="nil"/>
              <w:right w:val="single" w:sz="12" w:space="0" w:color="auto"/>
            </w:tcBorders>
            <w:vAlign w:val="center"/>
          </w:tcPr>
          <w:p w14:paraId="20738709" w14:textId="77777777" w:rsidR="001676E4" w:rsidRPr="005952CC" w:rsidRDefault="001676E4" w:rsidP="003D66E5">
            <w:pPr>
              <w:jc w:val="right"/>
              <w:rPr>
                <w:rFonts w:cs="Arial"/>
                <w:color w:val="000000"/>
                <w:sz w:val="18"/>
                <w:szCs w:val="18"/>
              </w:rPr>
            </w:pPr>
            <w:r w:rsidRPr="005952CC">
              <w:rPr>
                <w:rFonts w:cs="Arial"/>
                <w:color w:val="000000"/>
                <w:sz w:val="18"/>
                <w:szCs w:val="18"/>
              </w:rPr>
              <w:t>10,7</w:t>
            </w:r>
          </w:p>
        </w:tc>
      </w:tr>
      <w:tr w:rsidR="001676E4" w:rsidRPr="005952CC" w14:paraId="0DE011B9"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0446423C"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1667A488" w14:textId="77777777" w:rsidR="001676E4" w:rsidRPr="005952CC" w:rsidRDefault="001676E4" w:rsidP="003D66E5">
            <w:pPr>
              <w:spacing w:after="120"/>
              <w:rPr>
                <w:rFonts w:cs="Arial"/>
                <w:color w:val="000000"/>
                <w:sz w:val="18"/>
                <w:szCs w:val="18"/>
              </w:rPr>
            </w:pPr>
            <w:r w:rsidRPr="005952CC">
              <w:rPr>
                <w:rFonts w:cs="Arial"/>
                <w:color w:val="000000"/>
                <w:sz w:val="18"/>
                <w:szCs w:val="18"/>
              </w:rPr>
              <w:t>Między 30 minut a 1 godzina</w:t>
            </w:r>
          </w:p>
        </w:tc>
        <w:tc>
          <w:tcPr>
            <w:tcW w:w="1984" w:type="dxa"/>
            <w:tcBorders>
              <w:top w:val="nil"/>
              <w:bottom w:val="nil"/>
              <w:right w:val="single" w:sz="12" w:space="0" w:color="auto"/>
            </w:tcBorders>
            <w:noWrap/>
            <w:vAlign w:val="center"/>
          </w:tcPr>
          <w:p w14:paraId="211FB9BE" w14:textId="77777777" w:rsidR="001676E4" w:rsidRPr="005952CC" w:rsidRDefault="001676E4" w:rsidP="003D66E5">
            <w:pPr>
              <w:jc w:val="right"/>
              <w:rPr>
                <w:rFonts w:cs="Arial"/>
                <w:color w:val="000000"/>
                <w:sz w:val="18"/>
                <w:szCs w:val="18"/>
              </w:rPr>
            </w:pPr>
            <w:r w:rsidRPr="005952CC">
              <w:rPr>
                <w:rFonts w:cs="Arial"/>
                <w:color w:val="000000"/>
                <w:sz w:val="18"/>
                <w:szCs w:val="18"/>
              </w:rPr>
              <w:t>5,0</w:t>
            </w:r>
          </w:p>
        </w:tc>
        <w:tc>
          <w:tcPr>
            <w:tcW w:w="1985" w:type="dxa"/>
            <w:tcBorders>
              <w:top w:val="nil"/>
              <w:bottom w:val="nil"/>
              <w:right w:val="single" w:sz="12" w:space="0" w:color="auto"/>
            </w:tcBorders>
            <w:vAlign w:val="center"/>
          </w:tcPr>
          <w:p w14:paraId="59257AAD" w14:textId="77777777" w:rsidR="001676E4" w:rsidRPr="005952CC" w:rsidRDefault="001676E4" w:rsidP="003D66E5">
            <w:pPr>
              <w:jc w:val="right"/>
              <w:rPr>
                <w:rFonts w:cs="Arial"/>
                <w:color w:val="000000"/>
                <w:sz w:val="18"/>
                <w:szCs w:val="18"/>
              </w:rPr>
            </w:pPr>
            <w:r w:rsidRPr="005952CC">
              <w:rPr>
                <w:rFonts w:cs="Arial"/>
                <w:color w:val="000000"/>
                <w:sz w:val="18"/>
                <w:szCs w:val="18"/>
              </w:rPr>
              <w:t>4,2</w:t>
            </w:r>
          </w:p>
        </w:tc>
      </w:tr>
      <w:tr w:rsidR="001676E4" w:rsidRPr="005952CC" w14:paraId="7270A183"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681495A2"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78BD673A" w14:textId="77777777" w:rsidR="001676E4" w:rsidRPr="005952CC" w:rsidRDefault="001676E4" w:rsidP="003D66E5">
            <w:pPr>
              <w:spacing w:after="120"/>
              <w:rPr>
                <w:rFonts w:cs="Arial"/>
                <w:color w:val="000000"/>
                <w:sz w:val="18"/>
                <w:szCs w:val="18"/>
              </w:rPr>
            </w:pPr>
            <w:r w:rsidRPr="005952CC">
              <w:rPr>
                <w:rFonts w:cs="Arial"/>
                <w:color w:val="000000"/>
                <w:sz w:val="18"/>
                <w:szCs w:val="18"/>
              </w:rPr>
              <w:t>Między 1 godzina a 2 godziny</w:t>
            </w:r>
          </w:p>
        </w:tc>
        <w:tc>
          <w:tcPr>
            <w:tcW w:w="1984" w:type="dxa"/>
            <w:tcBorders>
              <w:top w:val="nil"/>
              <w:bottom w:val="nil"/>
              <w:right w:val="single" w:sz="12" w:space="0" w:color="auto"/>
            </w:tcBorders>
            <w:noWrap/>
            <w:vAlign w:val="center"/>
          </w:tcPr>
          <w:p w14:paraId="152E142F" w14:textId="77777777" w:rsidR="001676E4" w:rsidRPr="005952CC" w:rsidRDefault="001676E4" w:rsidP="003D66E5">
            <w:pPr>
              <w:jc w:val="right"/>
              <w:rPr>
                <w:rFonts w:cs="Arial"/>
                <w:color w:val="000000"/>
                <w:sz w:val="18"/>
                <w:szCs w:val="18"/>
              </w:rPr>
            </w:pPr>
            <w:r w:rsidRPr="005952CC">
              <w:rPr>
                <w:rFonts w:cs="Arial"/>
                <w:color w:val="000000"/>
                <w:sz w:val="18"/>
                <w:szCs w:val="18"/>
              </w:rPr>
              <w:t>1,5</w:t>
            </w:r>
          </w:p>
        </w:tc>
        <w:tc>
          <w:tcPr>
            <w:tcW w:w="1985" w:type="dxa"/>
            <w:tcBorders>
              <w:top w:val="nil"/>
              <w:bottom w:val="nil"/>
              <w:right w:val="single" w:sz="12" w:space="0" w:color="auto"/>
            </w:tcBorders>
            <w:vAlign w:val="center"/>
          </w:tcPr>
          <w:p w14:paraId="23C90925" w14:textId="77777777" w:rsidR="001676E4" w:rsidRPr="005952CC" w:rsidRDefault="001676E4" w:rsidP="003D66E5">
            <w:pPr>
              <w:jc w:val="right"/>
              <w:rPr>
                <w:rFonts w:cs="Arial"/>
                <w:color w:val="000000"/>
                <w:sz w:val="18"/>
                <w:szCs w:val="18"/>
              </w:rPr>
            </w:pPr>
            <w:r w:rsidRPr="005952CC">
              <w:rPr>
                <w:rFonts w:cs="Arial"/>
                <w:color w:val="000000"/>
                <w:sz w:val="18"/>
                <w:szCs w:val="18"/>
              </w:rPr>
              <w:t>1,8</w:t>
            </w:r>
          </w:p>
        </w:tc>
      </w:tr>
      <w:tr w:rsidR="001676E4" w:rsidRPr="005952CC" w14:paraId="7E3635CE"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65F10CF5"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6B8B0245" w14:textId="77777777" w:rsidR="001676E4" w:rsidRPr="005952CC" w:rsidRDefault="001676E4" w:rsidP="003D66E5">
            <w:pPr>
              <w:spacing w:after="120"/>
              <w:rPr>
                <w:rFonts w:cs="Arial"/>
                <w:color w:val="000000"/>
                <w:sz w:val="18"/>
                <w:szCs w:val="18"/>
              </w:rPr>
            </w:pPr>
            <w:r w:rsidRPr="005952CC">
              <w:rPr>
                <w:rFonts w:cs="Arial"/>
                <w:color w:val="000000"/>
                <w:sz w:val="18"/>
                <w:szCs w:val="18"/>
              </w:rPr>
              <w:t>Między 2 godziny a 3 godziny</w:t>
            </w:r>
          </w:p>
        </w:tc>
        <w:tc>
          <w:tcPr>
            <w:tcW w:w="1984" w:type="dxa"/>
            <w:tcBorders>
              <w:top w:val="nil"/>
              <w:bottom w:val="nil"/>
              <w:right w:val="single" w:sz="12" w:space="0" w:color="auto"/>
            </w:tcBorders>
            <w:noWrap/>
            <w:vAlign w:val="center"/>
          </w:tcPr>
          <w:p w14:paraId="4EE30727" w14:textId="77777777" w:rsidR="001676E4" w:rsidRPr="005952CC" w:rsidRDefault="001676E4" w:rsidP="003D66E5">
            <w:pPr>
              <w:jc w:val="right"/>
              <w:rPr>
                <w:rFonts w:cs="Arial"/>
                <w:color w:val="000000"/>
                <w:sz w:val="18"/>
                <w:szCs w:val="18"/>
              </w:rPr>
            </w:pPr>
            <w:r w:rsidRPr="005952CC">
              <w:rPr>
                <w:rFonts w:cs="Arial"/>
                <w:color w:val="000000"/>
                <w:sz w:val="18"/>
                <w:szCs w:val="18"/>
              </w:rPr>
              <w:t>1,3</w:t>
            </w:r>
          </w:p>
        </w:tc>
        <w:tc>
          <w:tcPr>
            <w:tcW w:w="1985" w:type="dxa"/>
            <w:tcBorders>
              <w:top w:val="nil"/>
              <w:bottom w:val="nil"/>
              <w:right w:val="single" w:sz="12" w:space="0" w:color="auto"/>
            </w:tcBorders>
            <w:vAlign w:val="center"/>
          </w:tcPr>
          <w:p w14:paraId="76964732" w14:textId="77777777" w:rsidR="001676E4" w:rsidRPr="005952CC" w:rsidRDefault="001676E4" w:rsidP="003D66E5">
            <w:pPr>
              <w:jc w:val="right"/>
              <w:rPr>
                <w:rFonts w:cs="Arial"/>
                <w:color w:val="000000"/>
                <w:sz w:val="18"/>
                <w:szCs w:val="18"/>
              </w:rPr>
            </w:pPr>
            <w:r w:rsidRPr="005952CC">
              <w:rPr>
                <w:rFonts w:cs="Arial"/>
                <w:color w:val="000000"/>
                <w:sz w:val="18"/>
                <w:szCs w:val="18"/>
              </w:rPr>
              <w:t>0,9</w:t>
            </w:r>
          </w:p>
        </w:tc>
      </w:tr>
      <w:tr w:rsidR="001676E4" w:rsidRPr="005952CC" w14:paraId="1167ED8A"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00BB2EBA"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single" w:sz="12" w:space="0" w:color="auto"/>
            </w:tcBorders>
          </w:tcPr>
          <w:p w14:paraId="27FC5809" w14:textId="77777777" w:rsidR="001676E4" w:rsidRPr="005952CC" w:rsidRDefault="001676E4" w:rsidP="003D66E5">
            <w:pPr>
              <w:spacing w:after="120"/>
              <w:rPr>
                <w:rFonts w:cs="Arial"/>
                <w:color w:val="000000"/>
                <w:sz w:val="18"/>
                <w:szCs w:val="18"/>
              </w:rPr>
            </w:pPr>
            <w:r w:rsidRPr="005952CC">
              <w:rPr>
                <w:rFonts w:cs="Arial"/>
                <w:color w:val="000000"/>
                <w:sz w:val="18"/>
                <w:szCs w:val="18"/>
              </w:rPr>
              <w:t>3 godziny lub więcej</w:t>
            </w:r>
          </w:p>
        </w:tc>
        <w:tc>
          <w:tcPr>
            <w:tcW w:w="1984" w:type="dxa"/>
            <w:tcBorders>
              <w:top w:val="nil"/>
              <w:bottom w:val="single" w:sz="12" w:space="0" w:color="auto"/>
              <w:right w:val="single" w:sz="12" w:space="0" w:color="auto"/>
            </w:tcBorders>
            <w:noWrap/>
            <w:vAlign w:val="center"/>
          </w:tcPr>
          <w:p w14:paraId="16CA092C" w14:textId="77777777" w:rsidR="001676E4" w:rsidRPr="005952CC" w:rsidRDefault="001676E4" w:rsidP="003D66E5">
            <w:pPr>
              <w:jc w:val="right"/>
              <w:rPr>
                <w:rFonts w:cs="Arial"/>
                <w:color w:val="000000"/>
                <w:sz w:val="18"/>
                <w:szCs w:val="18"/>
              </w:rPr>
            </w:pPr>
            <w:r w:rsidRPr="005952CC">
              <w:rPr>
                <w:rFonts w:cs="Arial"/>
                <w:color w:val="000000"/>
                <w:sz w:val="18"/>
                <w:szCs w:val="18"/>
              </w:rPr>
              <w:t>3,7</w:t>
            </w:r>
          </w:p>
        </w:tc>
        <w:tc>
          <w:tcPr>
            <w:tcW w:w="1985" w:type="dxa"/>
            <w:tcBorders>
              <w:top w:val="nil"/>
              <w:bottom w:val="single" w:sz="12" w:space="0" w:color="auto"/>
              <w:right w:val="single" w:sz="12" w:space="0" w:color="auto"/>
            </w:tcBorders>
            <w:vAlign w:val="center"/>
          </w:tcPr>
          <w:p w14:paraId="5FCE88EE" w14:textId="77777777" w:rsidR="001676E4" w:rsidRPr="005952CC" w:rsidRDefault="001676E4" w:rsidP="003D66E5">
            <w:pPr>
              <w:jc w:val="right"/>
              <w:rPr>
                <w:rFonts w:cs="Arial"/>
                <w:color w:val="000000"/>
                <w:sz w:val="18"/>
                <w:szCs w:val="18"/>
              </w:rPr>
            </w:pPr>
            <w:r w:rsidRPr="005952CC">
              <w:rPr>
                <w:rFonts w:cs="Arial"/>
                <w:color w:val="000000"/>
                <w:sz w:val="18"/>
                <w:szCs w:val="18"/>
              </w:rPr>
              <w:t>2,2</w:t>
            </w:r>
          </w:p>
        </w:tc>
      </w:tr>
    </w:tbl>
    <w:p w14:paraId="129A9162"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5B108579" w14:textId="342C34FA" w:rsidR="001676E4" w:rsidRPr="00317DE2" w:rsidRDefault="001676E4" w:rsidP="001676E4">
      <w:pPr>
        <w:pStyle w:val="Tekstpodstawowy"/>
        <w:spacing w:before="240" w:line="360" w:lineRule="auto"/>
        <w:ind w:firstLine="567"/>
        <w:jc w:val="both"/>
        <w:rPr>
          <w:rFonts w:ascii="Arial" w:hAnsi="Arial" w:cs="Arial"/>
          <w:sz w:val="22"/>
          <w:szCs w:val="22"/>
        </w:rPr>
      </w:pPr>
      <w:r w:rsidRPr="00317DE2">
        <w:rPr>
          <w:rFonts w:ascii="Arial" w:hAnsi="Arial" w:cs="Arial"/>
          <w:sz w:val="22"/>
          <w:szCs w:val="22"/>
        </w:rPr>
        <w:t>Około 80% młodzieży nie zdarzyło się w czasie ostatnich 12 miesięcy  grać w gry hazardowe dłużej niż 2 godziny przy jednej okazji niezależnie od wieku. Podobne rozpowszechnienie można odnotować również porównując wyniki uzyskane w badaniu wojewódzkim do próby ogólnopolskiej. Różnice, które występują są niewielkie.</w:t>
      </w:r>
    </w:p>
    <w:p w14:paraId="23DD5198" w14:textId="1A749D9B" w:rsidR="001676E4" w:rsidRPr="00A43860" w:rsidRDefault="001676E4" w:rsidP="001676E4">
      <w:pPr>
        <w:pStyle w:val="Legenda"/>
        <w:keepNext/>
        <w:rPr>
          <w:sz w:val="20"/>
          <w:szCs w:val="16"/>
        </w:rPr>
      </w:pPr>
      <w:bookmarkStart w:id="105" w:name="_Toc214279709"/>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24</w:t>
      </w:r>
      <w:r w:rsidRPr="00A43860">
        <w:rPr>
          <w:sz w:val="20"/>
          <w:szCs w:val="16"/>
        </w:rPr>
        <w:fldChar w:fldCharType="end"/>
      </w:r>
      <w:r w:rsidRPr="00A43860">
        <w:rPr>
          <w:sz w:val="20"/>
          <w:szCs w:val="16"/>
        </w:rPr>
        <w:t>. Granie w gry hazardowe dłużej niż 2 godziny przy jednej okazji w czasie ostatnich 12 miesięcy</w:t>
      </w:r>
      <w:bookmarkEnd w:id="105"/>
    </w:p>
    <w:tbl>
      <w:tblPr>
        <w:tblW w:w="9180"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951"/>
        <w:gridCol w:w="3260"/>
        <w:gridCol w:w="1985"/>
        <w:gridCol w:w="1984"/>
      </w:tblGrid>
      <w:tr w:rsidR="001676E4" w:rsidRPr="0092722E" w14:paraId="1C2101C5" w14:textId="77777777" w:rsidTr="003D66E5">
        <w:trPr>
          <w:trHeight w:val="430"/>
        </w:trPr>
        <w:tc>
          <w:tcPr>
            <w:tcW w:w="1951" w:type="dxa"/>
            <w:tcBorders>
              <w:bottom w:val="single" w:sz="12" w:space="0" w:color="auto"/>
            </w:tcBorders>
            <w:vAlign w:val="center"/>
          </w:tcPr>
          <w:p w14:paraId="7C8FF780" w14:textId="77777777" w:rsidR="001676E4" w:rsidRPr="0092722E"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92722E">
              <w:rPr>
                <w:rFonts w:cs="Arial"/>
                <w:b/>
                <w:bCs/>
                <w:color w:val="000000"/>
                <w:sz w:val="18"/>
                <w:szCs w:val="18"/>
              </w:rPr>
              <w:t>Kohorta</w:t>
            </w:r>
          </w:p>
        </w:tc>
        <w:tc>
          <w:tcPr>
            <w:tcW w:w="3260" w:type="dxa"/>
            <w:vAlign w:val="center"/>
          </w:tcPr>
          <w:p w14:paraId="3A16EE0D" w14:textId="77777777" w:rsidR="001676E4" w:rsidRPr="0092722E"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p>
        </w:tc>
        <w:tc>
          <w:tcPr>
            <w:tcW w:w="1985" w:type="dxa"/>
            <w:vAlign w:val="center"/>
          </w:tcPr>
          <w:p w14:paraId="1CB728A4" w14:textId="77777777" w:rsidR="001676E4" w:rsidRPr="0092722E"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92722E">
              <w:rPr>
                <w:rFonts w:cs="Arial"/>
                <w:b/>
                <w:bCs/>
                <w:sz w:val="18"/>
                <w:szCs w:val="18"/>
              </w:rPr>
              <w:t>Lubelskie</w:t>
            </w:r>
          </w:p>
        </w:tc>
        <w:tc>
          <w:tcPr>
            <w:tcW w:w="1984" w:type="dxa"/>
            <w:vAlign w:val="center"/>
          </w:tcPr>
          <w:p w14:paraId="399ECCBB" w14:textId="77777777" w:rsidR="001676E4" w:rsidRPr="0092722E"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92722E">
              <w:rPr>
                <w:rFonts w:cs="Arial"/>
                <w:b/>
                <w:bCs/>
                <w:sz w:val="18"/>
                <w:szCs w:val="18"/>
              </w:rPr>
              <w:t>Polska</w:t>
            </w:r>
          </w:p>
        </w:tc>
      </w:tr>
      <w:tr w:rsidR="001676E4" w:rsidRPr="005952CC" w14:paraId="43F96ACF"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val="restart"/>
            <w:tcBorders>
              <w:top w:val="single" w:sz="12" w:space="0" w:color="auto"/>
              <w:left w:val="single" w:sz="12" w:space="0" w:color="auto"/>
              <w:right w:val="single" w:sz="4" w:space="0" w:color="auto"/>
            </w:tcBorders>
          </w:tcPr>
          <w:p w14:paraId="394DA242"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Młodsza kohorta (15-16 lat)</w:t>
            </w:r>
          </w:p>
          <w:p w14:paraId="72568096"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left w:val="single" w:sz="12" w:space="0" w:color="auto"/>
              <w:bottom w:val="nil"/>
              <w:right w:val="single" w:sz="4" w:space="0" w:color="auto"/>
            </w:tcBorders>
          </w:tcPr>
          <w:p w14:paraId="7B8FE6AF" w14:textId="77777777" w:rsidR="001676E4" w:rsidRPr="005952CC" w:rsidRDefault="001676E4" w:rsidP="003D66E5">
            <w:pPr>
              <w:spacing w:after="120"/>
              <w:rPr>
                <w:rFonts w:cs="Arial"/>
                <w:color w:val="000000"/>
                <w:sz w:val="18"/>
                <w:szCs w:val="18"/>
              </w:rPr>
            </w:pPr>
            <w:r w:rsidRPr="005952CC">
              <w:rPr>
                <w:rFonts w:cs="Arial"/>
                <w:color w:val="000000"/>
                <w:sz w:val="18"/>
                <w:szCs w:val="18"/>
              </w:rPr>
              <w:t>Nie w czasie ostatnich 12 miesięcy</w:t>
            </w:r>
          </w:p>
        </w:tc>
        <w:tc>
          <w:tcPr>
            <w:tcW w:w="1985" w:type="dxa"/>
            <w:tcBorders>
              <w:left w:val="single" w:sz="4" w:space="0" w:color="auto"/>
              <w:bottom w:val="nil"/>
              <w:right w:val="single" w:sz="12" w:space="0" w:color="auto"/>
            </w:tcBorders>
            <w:noWrap/>
            <w:vAlign w:val="center"/>
          </w:tcPr>
          <w:p w14:paraId="5A91D2DD" w14:textId="77777777" w:rsidR="001676E4" w:rsidRPr="005952CC" w:rsidRDefault="001676E4" w:rsidP="003D66E5">
            <w:pPr>
              <w:jc w:val="right"/>
              <w:rPr>
                <w:rFonts w:cs="Arial"/>
                <w:color w:val="000000"/>
                <w:sz w:val="18"/>
                <w:szCs w:val="18"/>
              </w:rPr>
            </w:pPr>
            <w:r w:rsidRPr="005952CC">
              <w:rPr>
                <w:rFonts w:cs="Arial"/>
                <w:color w:val="000000"/>
                <w:sz w:val="18"/>
                <w:szCs w:val="18"/>
              </w:rPr>
              <w:t>81,4</w:t>
            </w:r>
          </w:p>
        </w:tc>
        <w:tc>
          <w:tcPr>
            <w:tcW w:w="1984" w:type="dxa"/>
            <w:tcBorders>
              <w:left w:val="single" w:sz="4" w:space="0" w:color="auto"/>
              <w:bottom w:val="nil"/>
              <w:right w:val="single" w:sz="12" w:space="0" w:color="auto"/>
            </w:tcBorders>
            <w:vAlign w:val="center"/>
          </w:tcPr>
          <w:p w14:paraId="27535BE7" w14:textId="77777777" w:rsidR="001676E4" w:rsidRPr="005952CC" w:rsidRDefault="001676E4" w:rsidP="003D66E5">
            <w:pPr>
              <w:jc w:val="right"/>
              <w:rPr>
                <w:rFonts w:cs="Arial"/>
                <w:color w:val="000000"/>
                <w:sz w:val="18"/>
                <w:szCs w:val="18"/>
              </w:rPr>
            </w:pPr>
            <w:r w:rsidRPr="005952CC">
              <w:rPr>
                <w:rFonts w:cs="Arial"/>
                <w:color w:val="000000"/>
                <w:sz w:val="18"/>
                <w:szCs w:val="18"/>
              </w:rPr>
              <w:t>80,8</w:t>
            </w:r>
          </w:p>
        </w:tc>
      </w:tr>
      <w:tr w:rsidR="001676E4" w:rsidRPr="005952CC" w14:paraId="6730B2A7"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52836263"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15624BFB" w14:textId="77777777" w:rsidR="001676E4" w:rsidRPr="005952CC" w:rsidRDefault="001676E4" w:rsidP="003D66E5">
            <w:pPr>
              <w:spacing w:after="120"/>
              <w:rPr>
                <w:rFonts w:cs="Arial"/>
                <w:color w:val="000000"/>
                <w:sz w:val="18"/>
                <w:szCs w:val="18"/>
              </w:rPr>
            </w:pPr>
            <w:r w:rsidRPr="005952CC">
              <w:rPr>
                <w:rFonts w:cs="Arial"/>
                <w:color w:val="000000"/>
                <w:sz w:val="18"/>
                <w:szCs w:val="18"/>
              </w:rPr>
              <w:t>Raz na miesiąc lub rzadziej</w:t>
            </w:r>
          </w:p>
        </w:tc>
        <w:tc>
          <w:tcPr>
            <w:tcW w:w="1985" w:type="dxa"/>
            <w:tcBorders>
              <w:top w:val="nil"/>
              <w:bottom w:val="nil"/>
              <w:right w:val="single" w:sz="12" w:space="0" w:color="auto"/>
            </w:tcBorders>
            <w:noWrap/>
            <w:vAlign w:val="center"/>
          </w:tcPr>
          <w:p w14:paraId="770991C1" w14:textId="77777777" w:rsidR="001676E4" w:rsidRPr="005952CC" w:rsidRDefault="001676E4" w:rsidP="003D66E5">
            <w:pPr>
              <w:jc w:val="right"/>
              <w:rPr>
                <w:rFonts w:cs="Arial"/>
                <w:color w:val="000000"/>
                <w:sz w:val="18"/>
                <w:szCs w:val="18"/>
              </w:rPr>
            </w:pPr>
            <w:r w:rsidRPr="005952CC">
              <w:rPr>
                <w:rFonts w:cs="Arial"/>
                <w:color w:val="000000"/>
                <w:sz w:val="18"/>
                <w:szCs w:val="18"/>
              </w:rPr>
              <w:t>8,9</w:t>
            </w:r>
          </w:p>
        </w:tc>
        <w:tc>
          <w:tcPr>
            <w:tcW w:w="1984" w:type="dxa"/>
            <w:tcBorders>
              <w:top w:val="nil"/>
              <w:bottom w:val="nil"/>
              <w:right w:val="single" w:sz="12" w:space="0" w:color="auto"/>
            </w:tcBorders>
            <w:vAlign w:val="center"/>
          </w:tcPr>
          <w:p w14:paraId="45299472" w14:textId="77777777" w:rsidR="001676E4" w:rsidRPr="005952CC" w:rsidRDefault="001676E4" w:rsidP="003D66E5">
            <w:pPr>
              <w:jc w:val="right"/>
              <w:rPr>
                <w:rFonts w:cs="Arial"/>
                <w:color w:val="000000"/>
                <w:sz w:val="18"/>
                <w:szCs w:val="18"/>
              </w:rPr>
            </w:pPr>
            <w:r w:rsidRPr="005952CC">
              <w:rPr>
                <w:rFonts w:cs="Arial"/>
                <w:color w:val="000000"/>
                <w:sz w:val="18"/>
                <w:szCs w:val="18"/>
              </w:rPr>
              <w:t>10,1</w:t>
            </w:r>
          </w:p>
        </w:tc>
      </w:tr>
      <w:tr w:rsidR="001676E4" w:rsidRPr="005952CC" w14:paraId="3D118CEE"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52429752"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5FB3F8C8" w14:textId="77777777" w:rsidR="001676E4" w:rsidRPr="005952CC" w:rsidRDefault="001676E4" w:rsidP="003D66E5">
            <w:pPr>
              <w:spacing w:after="120"/>
              <w:rPr>
                <w:rFonts w:cs="Arial"/>
                <w:color w:val="000000"/>
                <w:sz w:val="18"/>
                <w:szCs w:val="18"/>
              </w:rPr>
            </w:pPr>
            <w:r w:rsidRPr="005952CC">
              <w:rPr>
                <w:rFonts w:cs="Arial"/>
                <w:color w:val="000000"/>
                <w:sz w:val="18"/>
                <w:szCs w:val="18"/>
              </w:rPr>
              <w:t>2-4 razy w miesiącu</w:t>
            </w:r>
          </w:p>
        </w:tc>
        <w:tc>
          <w:tcPr>
            <w:tcW w:w="1985" w:type="dxa"/>
            <w:tcBorders>
              <w:top w:val="nil"/>
              <w:bottom w:val="nil"/>
              <w:right w:val="single" w:sz="12" w:space="0" w:color="auto"/>
            </w:tcBorders>
            <w:noWrap/>
            <w:vAlign w:val="center"/>
          </w:tcPr>
          <w:p w14:paraId="165C0240" w14:textId="77777777" w:rsidR="001676E4" w:rsidRPr="005952CC" w:rsidRDefault="001676E4" w:rsidP="003D66E5">
            <w:pPr>
              <w:jc w:val="right"/>
              <w:rPr>
                <w:rFonts w:cs="Arial"/>
                <w:color w:val="000000"/>
                <w:sz w:val="18"/>
                <w:szCs w:val="18"/>
              </w:rPr>
            </w:pPr>
            <w:r w:rsidRPr="005952CC">
              <w:rPr>
                <w:rFonts w:cs="Arial"/>
                <w:color w:val="000000"/>
                <w:sz w:val="18"/>
                <w:szCs w:val="18"/>
              </w:rPr>
              <w:t>4,5</w:t>
            </w:r>
          </w:p>
        </w:tc>
        <w:tc>
          <w:tcPr>
            <w:tcW w:w="1984" w:type="dxa"/>
            <w:tcBorders>
              <w:top w:val="nil"/>
              <w:bottom w:val="nil"/>
              <w:right w:val="single" w:sz="12" w:space="0" w:color="auto"/>
            </w:tcBorders>
            <w:vAlign w:val="center"/>
          </w:tcPr>
          <w:p w14:paraId="62CF12CF" w14:textId="77777777" w:rsidR="001676E4" w:rsidRPr="005952CC" w:rsidRDefault="001676E4" w:rsidP="003D66E5">
            <w:pPr>
              <w:jc w:val="right"/>
              <w:rPr>
                <w:rFonts w:cs="Arial"/>
                <w:color w:val="000000"/>
                <w:sz w:val="18"/>
                <w:szCs w:val="18"/>
              </w:rPr>
            </w:pPr>
            <w:r w:rsidRPr="005952CC">
              <w:rPr>
                <w:rFonts w:cs="Arial"/>
                <w:color w:val="000000"/>
                <w:sz w:val="18"/>
                <w:szCs w:val="18"/>
              </w:rPr>
              <w:t>4,6</w:t>
            </w:r>
          </w:p>
        </w:tc>
      </w:tr>
      <w:tr w:rsidR="001676E4" w:rsidRPr="005952CC" w14:paraId="15C0BB73"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6558585B"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0942895B" w14:textId="77777777" w:rsidR="001676E4" w:rsidRPr="005952CC" w:rsidRDefault="001676E4" w:rsidP="003D66E5">
            <w:pPr>
              <w:spacing w:after="120"/>
              <w:rPr>
                <w:rFonts w:cs="Arial"/>
                <w:color w:val="000000"/>
                <w:sz w:val="18"/>
                <w:szCs w:val="18"/>
              </w:rPr>
            </w:pPr>
            <w:r w:rsidRPr="005952CC">
              <w:rPr>
                <w:rFonts w:cs="Arial"/>
                <w:color w:val="000000"/>
                <w:sz w:val="18"/>
                <w:szCs w:val="18"/>
              </w:rPr>
              <w:t>2-3 razy w tygodniu</w:t>
            </w:r>
          </w:p>
        </w:tc>
        <w:tc>
          <w:tcPr>
            <w:tcW w:w="1985" w:type="dxa"/>
            <w:tcBorders>
              <w:top w:val="nil"/>
              <w:bottom w:val="nil"/>
              <w:right w:val="single" w:sz="12" w:space="0" w:color="auto"/>
            </w:tcBorders>
            <w:noWrap/>
            <w:vAlign w:val="center"/>
          </w:tcPr>
          <w:p w14:paraId="589C29EB" w14:textId="77777777" w:rsidR="001676E4" w:rsidRPr="005952CC" w:rsidRDefault="001676E4" w:rsidP="003D66E5">
            <w:pPr>
              <w:jc w:val="right"/>
              <w:rPr>
                <w:rFonts w:cs="Arial"/>
                <w:color w:val="000000"/>
                <w:sz w:val="18"/>
                <w:szCs w:val="18"/>
              </w:rPr>
            </w:pPr>
            <w:r w:rsidRPr="005952CC">
              <w:rPr>
                <w:rFonts w:cs="Arial"/>
                <w:color w:val="000000"/>
                <w:sz w:val="18"/>
                <w:szCs w:val="18"/>
              </w:rPr>
              <w:t>1,7</w:t>
            </w:r>
          </w:p>
        </w:tc>
        <w:tc>
          <w:tcPr>
            <w:tcW w:w="1984" w:type="dxa"/>
            <w:tcBorders>
              <w:top w:val="nil"/>
              <w:bottom w:val="nil"/>
              <w:right w:val="single" w:sz="12" w:space="0" w:color="auto"/>
            </w:tcBorders>
            <w:vAlign w:val="center"/>
          </w:tcPr>
          <w:p w14:paraId="7A010F9C" w14:textId="77777777" w:rsidR="001676E4" w:rsidRPr="005952CC" w:rsidRDefault="001676E4" w:rsidP="003D66E5">
            <w:pPr>
              <w:jc w:val="right"/>
              <w:rPr>
                <w:rFonts w:cs="Arial"/>
                <w:color w:val="000000"/>
                <w:sz w:val="18"/>
                <w:szCs w:val="18"/>
              </w:rPr>
            </w:pPr>
            <w:r w:rsidRPr="005952CC">
              <w:rPr>
                <w:rFonts w:cs="Arial"/>
                <w:color w:val="000000"/>
                <w:sz w:val="18"/>
                <w:szCs w:val="18"/>
              </w:rPr>
              <w:t>1,2</w:t>
            </w:r>
          </w:p>
        </w:tc>
      </w:tr>
      <w:tr w:rsidR="001676E4" w:rsidRPr="005952CC" w14:paraId="53203F40"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1DE3F449"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4D1F4F43" w14:textId="77777777" w:rsidR="001676E4" w:rsidRPr="005952CC" w:rsidRDefault="001676E4" w:rsidP="003D66E5">
            <w:pPr>
              <w:spacing w:after="120"/>
              <w:rPr>
                <w:rFonts w:cs="Arial"/>
                <w:color w:val="000000"/>
                <w:sz w:val="18"/>
                <w:szCs w:val="18"/>
              </w:rPr>
            </w:pPr>
            <w:r w:rsidRPr="005952CC">
              <w:rPr>
                <w:rFonts w:cs="Arial"/>
                <w:color w:val="000000"/>
                <w:sz w:val="18"/>
                <w:szCs w:val="18"/>
              </w:rPr>
              <w:t>4-5 razy w tygodniu</w:t>
            </w:r>
          </w:p>
        </w:tc>
        <w:tc>
          <w:tcPr>
            <w:tcW w:w="1985" w:type="dxa"/>
            <w:tcBorders>
              <w:top w:val="nil"/>
              <w:bottom w:val="nil"/>
              <w:right w:val="single" w:sz="12" w:space="0" w:color="auto"/>
            </w:tcBorders>
            <w:noWrap/>
            <w:vAlign w:val="center"/>
          </w:tcPr>
          <w:p w14:paraId="4530A6C4" w14:textId="77777777" w:rsidR="001676E4" w:rsidRPr="005952CC" w:rsidRDefault="001676E4" w:rsidP="003D66E5">
            <w:pPr>
              <w:jc w:val="right"/>
              <w:rPr>
                <w:rFonts w:cs="Arial"/>
                <w:color w:val="000000"/>
                <w:sz w:val="18"/>
                <w:szCs w:val="18"/>
              </w:rPr>
            </w:pPr>
            <w:r w:rsidRPr="005952CC">
              <w:rPr>
                <w:rFonts w:cs="Arial"/>
                <w:color w:val="000000"/>
                <w:sz w:val="18"/>
                <w:szCs w:val="18"/>
              </w:rPr>
              <w:t>1,0</w:t>
            </w:r>
          </w:p>
        </w:tc>
        <w:tc>
          <w:tcPr>
            <w:tcW w:w="1984" w:type="dxa"/>
            <w:tcBorders>
              <w:top w:val="nil"/>
              <w:bottom w:val="nil"/>
              <w:right w:val="single" w:sz="12" w:space="0" w:color="auto"/>
            </w:tcBorders>
            <w:vAlign w:val="center"/>
          </w:tcPr>
          <w:p w14:paraId="767A767B" w14:textId="77777777" w:rsidR="001676E4" w:rsidRPr="005952CC" w:rsidRDefault="001676E4" w:rsidP="003D66E5">
            <w:pPr>
              <w:jc w:val="right"/>
              <w:rPr>
                <w:rFonts w:cs="Arial"/>
                <w:color w:val="000000"/>
                <w:sz w:val="18"/>
                <w:szCs w:val="18"/>
              </w:rPr>
            </w:pPr>
            <w:r w:rsidRPr="005952CC">
              <w:rPr>
                <w:rFonts w:cs="Arial"/>
                <w:color w:val="000000"/>
                <w:sz w:val="18"/>
                <w:szCs w:val="18"/>
              </w:rPr>
              <w:t>1,0</w:t>
            </w:r>
          </w:p>
        </w:tc>
      </w:tr>
      <w:tr w:rsidR="001676E4" w:rsidRPr="005952CC" w14:paraId="7DF11D8D"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right w:val="single" w:sz="4" w:space="0" w:color="auto"/>
            </w:tcBorders>
          </w:tcPr>
          <w:p w14:paraId="172749C0"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single" w:sz="4" w:space="0" w:color="auto"/>
            </w:tcBorders>
          </w:tcPr>
          <w:p w14:paraId="594519E0" w14:textId="77777777" w:rsidR="001676E4" w:rsidRPr="005952CC" w:rsidRDefault="001676E4" w:rsidP="003D66E5">
            <w:pPr>
              <w:spacing w:after="120"/>
              <w:rPr>
                <w:rFonts w:cs="Arial"/>
                <w:color w:val="000000"/>
                <w:sz w:val="18"/>
                <w:szCs w:val="18"/>
              </w:rPr>
            </w:pPr>
            <w:r w:rsidRPr="005952CC">
              <w:rPr>
                <w:rFonts w:cs="Arial"/>
                <w:color w:val="000000"/>
                <w:sz w:val="18"/>
                <w:szCs w:val="18"/>
              </w:rPr>
              <w:t>6 lub więcej razy w tygodniu</w:t>
            </w:r>
          </w:p>
        </w:tc>
        <w:tc>
          <w:tcPr>
            <w:tcW w:w="1985" w:type="dxa"/>
            <w:tcBorders>
              <w:top w:val="nil"/>
              <w:bottom w:val="single" w:sz="4" w:space="0" w:color="auto"/>
              <w:right w:val="single" w:sz="12" w:space="0" w:color="auto"/>
            </w:tcBorders>
            <w:noWrap/>
            <w:vAlign w:val="center"/>
          </w:tcPr>
          <w:p w14:paraId="4AFE7905" w14:textId="77777777" w:rsidR="001676E4" w:rsidRPr="005952CC" w:rsidRDefault="001676E4" w:rsidP="003D66E5">
            <w:pPr>
              <w:jc w:val="right"/>
              <w:rPr>
                <w:rFonts w:cs="Arial"/>
                <w:color w:val="000000"/>
                <w:sz w:val="18"/>
                <w:szCs w:val="18"/>
              </w:rPr>
            </w:pPr>
            <w:r w:rsidRPr="005952CC">
              <w:rPr>
                <w:rFonts w:cs="Arial"/>
                <w:color w:val="000000"/>
                <w:sz w:val="18"/>
                <w:szCs w:val="18"/>
              </w:rPr>
              <w:t>2,4</w:t>
            </w:r>
          </w:p>
        </w:tc>
        <w:tc>
          <w:tcPr>
            <w:tcW w:w="1984" w:type="dxa"/>
            <w:tcBorders>
              <w:top w:val="nil"/>
              <w:bottom w:val="single" w:sz="4" w:space="0" w:color="auto"/>
              <w:right w:val="single" w:sz="12" w:space="0" w:color="auto"/>
            </w:tcBorders>
            <w:vAlign w:val="center"/>
          </w:tcPr>
          <w:p w14:paraId="1F759C12" w14:textId="77777777" w:rsidR="001676E4" w:rsidRPr="005952CC" w:rsidRDefault="001676E4" w:rsidP="003D66E5">
            <w:pPr>
              <w:jc w:val="right"/>
              <w:rPr>
                <w:rFonts w:cs="Arial"/>
                <w:color w:val="000000"/>
                <w:sz w:val="18"/>
                <w:szCs w:val="18"/>
              </w:rPr>
            </w:pPr>
            <w:r w:rsidRPr="005952CC">
              <w:rPr>
                <w:rFonts w:cs="Arial"/>
                <w:color w:val="000000"/>
                <w:sz w:val="18"/>
                <w:szCs w:val="18"/>
              </w:rPr>
              <w:t>2,3</w:t>
            </w:r>
          </w:p>
        </w:tc>
      </w:tr>
      <w:tr w:rsidR="001676E4" w:rsidRPr="005952CC" w14:paraId="6D90A26C"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val="restart"/>
            <w:tcBorders>
              <w:left w:val="single" w:sz="12" w:space="0" w:color="auto"/>
              <w:bottom w:val="single" w:sz="12" w:space="0" w:color="auto"/>
            </w:tcBorders>
          </w:tcPr>
          <w:p w14:paraId="2607A136" w14:textId="77777777" w:rsidR="001676E4"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Starsza kohorta (17-18 lat)</w:t>
            </w:r>
          </w:p>
          <w:p w14:paraId="6351D8DA" w14:textId="77777777" w:rsidR="00575072" w:rsidRDefault="00575072" w:rsidP="003D66E5">
            <w:pPr>
              <w:widowControl w:val="0"/>
              <w:autoSpaceDE w:val="0"/>
              <w:autoSpaceDN w:val="0"/>
              <w:adjustRightInd w:val="0"/>
              <w:rPr>
                <w:rFonts w:cs="Arial"/>
                <w:color w:val="000000"/>
                <w:sz w:val="18"/>
                <w:szCs w:val="18"/>
              </w:rPr>
            </w:pPr>
          </w:p>
          <w:p w14:paraId="50B61E66" w14:textId="77777777" w:rsidR="00575072" w:rsidRPr="005952CC" w:rsidRDefault="00575072" w:rsidP="003D66E5">
            <w:pPr>
              <w:widowControl w:val="0"/>
              <w:autoSpaceDE w:val="0"/>
              <w:autoSpaceDN w:val="0"/>
              <w:adjustRightInd w:val="0"/>
              <w:rPr>
                <w:rFonts w:cs="Arial"/>
                <w:color w:val="000000"/>
                <w:sz w:val="18"/>
                <w:szCs w:val="18"/>
              </w:rPr>
            </w:pPr>
          </w:p>
          <w:p w14:paraId="0DC0592E"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left w:val="single" w:sz="12" w:space="0" w:color="auto"/>
              <w:bottom w:val="nil"/>
            </w:tcBorders>
          </w:tcPr>
          <w:p w14:paraId="2729F4E8" w14:textId="77777777" w:rsidR="001676E4" w:rsidRPr="005952CC" w:rsidRDefault="001676E4" w:rsidP="003D66E5">
            <w:pPr>
              <w:spacing w:after="120"/>
              <w:rPr>
                <w:rFonts w:cs="Arial"/>
                <w:color w:val="000000"/>
                <w:sz w:val="18"/>
                <w:szCs w:val="18"/>
              </w:rPr>
            </w:pPr>
            <w:r w:rsidRPr="005952CC">
              <w:rPr>
                <w:rFonts w:cs="Arial"/>
                <w:color w:val="000000"/>
                <w:sz w:val="18"/>
                <w:szCs w:val="18"/>
              </w:rPr>
              <w:lastRenderedPageBreak/>
              <w:t>Nie w czasie ostatnich 12 miesięcy</w:t>
            </w:r>
          </w:p>
        </w:tc>
        <w:tc>
          <w:tcPr>
            <w:tcW w:w="1985" w:type="dxa"/>
            <w:tcBorders>
              <w:bottom w:val="nil"/>
              <w:right w:val="single" w:sz="12" w:space="0" w:color="auto"/>
            </w:tcBorders>
            <w:noWrap/>
            <w:vAlign w:val="center"/>
          </w:tcPr>
          <w:p w14:paraId="0FA52ECB" w14:textId="77777777" w:rsidR="001676E4" w:rsidRPr="005952CC" w:rsidRDefault="001676E4" w:rsidP="003D66E5">
            <w:pPr>
              <w:jc w:val="right"/>
              <w:rPr>
                <w:rFonts w:cs="Arial"/>
                <w:color w:val="000000"/>
                <w:sz w:val="18"/>
                <w:szCs w:val="18"/>
              </w:rPr>
            </w:pPr>
            <w:r w:rsidRPr="005952CC">
              <w:rPr>
                <w:rFonts w:cs="Arial"/>
                <w:color w:val="000000"/>
                <w:sz w:val="18"/>
                <w:szCs w:val="18"/>
              </w:rPr>
              <w:t>75,6</w:t>
            </w:r>
          </w:p>
        </w:tc>
        <w:tc>
          <w:tcPr>
            <w:tcW w:w="1984" w:type="dxa"/>
            <w:tcBorders>
              <w:bottom w:val="nil"/>
              <w:right w:val="single" w:sz="12" w:space="0" w:color="auto"/>
            </w:tcBorders>
            <w:vAlign w:val="center"/>
          </w:tcPr>
          <w:p w14:paraId="4F00D24D" w14:textId="77777777" w:rsidR="001676E4" w:rsidRPr="005952CC" w:rsidRDefault="001676E4" w:rsidP="003D66E5">
            <w:pPr>
              <w:jc w:val="right"/>
              <w:rPr>
                <w:rFonts w:cs="Arial"/>
                <w:color w:val="000000"/>
                <w:sz w:val="18"/>
                <w:szCs w:val="18"/>
              </w:rPr>
            </w:pPr>
            <w:r w:rsidRPr="005952CC">
              <w:rPr>
                <w:rFonts w:cs="Arial"/>
                <w:color w:val="000000"/>
                <w:sz w:val="18"/>
                <w:szCs w:val="18"/>
              </w:rPr>
              <w:t>81,0</w:t>
            </w:r>
          </w:p>
        </w:tc>
      </w:tr>
      <w:tr w:rsidR="001676E4" w:rsidRPr="005952CC" w14:paraId="093844F0"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60B3E9E4"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7120B5F4" w14:textId="77777777" w:rsidR="001676E4" w:rsidRPr="005952CC" w:rsidRDefault="001676E4" w:rsidP="003D66E5">
            <w:pPr>
              <w:spacing w:after="120"/>
              <w:rPr>
                <w:rFonts w:cs="Arial"/>
                <w:color w:val="000000"/>
                <w:sz w:val="18"/>
                <w:szCs w:val="18"/>
              </w:rPr>
            </w:pPr>
            <w:r w:rsidRPr="005952CC">
              <w:rPr>
                <w:rFonts w:cs="Arial"/>
                <w:color w:val="000000"/>
                <w:sz w:val="18"/>
                <w:szCs w:val="18"/>
              </w:rPr>
              <w:t>Raz na miesiąc lub rzadziej</w:t>
            </w:r>
          </w:p>
        </w:tc>
        <w:tc>
          <w:tcPr>
            <w:tcW w:w="1985" w:type="dxa"/>
            <w:tcBorders>
              <w:top w:val="nil"/>
              <w:bottom w:val="nil"/>
              <w:right w:val="single" w:sz="12" w:space="0" w:color="auto"/>
            </w:tcBorders>
            <w:noWrap/>
            <w:vAlign w:val="center"/>
          </w:tcPr>
          <w:p w14:paraId="0EF14196" w14:textId="77777777" w:rsidR="001676E4" w:rsidRPr="005952CC" w:rsidRDefault="001676E4" w:rsidP="003D66E5">
            <w:pPr>
              <w:jc w:val="right"/>
              <w:rPr>
                <w:rFonts w:cs="Arial"/>
                <w:color w:val="000000"/>
                <w:sz w:val="18"/>
                <w:szCs w:val="18"/>
              </w:rPr>
            </w:pPr>
            <w:r w:rsidRPr="005952CC">
              <w:rPr>
                <w:rFonts w:cs="Arial"/>
                <w:color w:val="000000"/>
                <w:sz w:val="18"/>
                <w:szCs w:val="18"/>
              </w:rPr>
              <w:t>12,3</w:t>
            </w:r>
          </w:p>
        </w:tc>
        <w:tc>
          <w:tcPr>
            <w:tcW w:w="1984" w:type="dxa"/>
            <w:tcBorders>
              <w:top w:val="nil"/>
              <w:bottom w:val="nil"/>
              <w:right w:val="single" w:sz="12" w:space="0" w:color="auto"/>
            </w:tcBorders>
            <w:vAlign w:val="center"/>
          </w:tcPr>
          <w:p w14:paraId="586DD95A" w14:textId="77777777" w:rsidR="001676E4" w:rsidRPr="005952CC" w:rsidRDefault="001676E4" w:rsidP="003D66E5">
            <w:pPr>
              <w:jc w:val="right"/>
              <w:rPr>
                <w:rFonts w:cs="Arial"/>
                <w:color w:val="000000"/>
                <w:sz w:val="18"/>
                <w:szCs w:val="18"/>
              </w:rPr>
            </w:pPr>
            <w:r w:rsidRPr="005952CC">
              <w:rPr>
                <w:rFonts w:cs="Arial"/>
                <w:color w:val="000000"/>
                <w:sz w:val="18"/>
                <w:szCs w:val="18"/>
              </w:rPr>
              <w:t>10,8</w:t>
            </w:r>
          </w:p>
        </w:tc>
      </w:tr>
      <w:tr w:rsidR="001676E4" w:rsidRPr="005952CC" w14:paraId="65DD781E"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4EB96C99"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3A881960" w14:textId="77777777" w:rsidR="001676E4" w:rsidRPr="005952CC" w:rsidRDefault="001676E4" w:rsidP="003D66E5">
            <w:pPr>
              <w:spacing w:after="120"/>
              <w:rPr>
                <w:rFonts w:cs="Arial"/>
                <w:color w:val="000000"/>
                <w:sz w:val="18"/>
                <w:szCs w:val="18"/>
              </w:rPr>
            </w:pPr>
            <w:r w:rsidRPr="005952CC">
              <w:rPr>
                <w:rFonts w:cs="Arial"/>
                <w:color w:val="000000"/>
                <w:sz w:val="18"/>
                <w:szCs w:val="18"/>
              </w:rPr>
              <w:t>2-4 razy w miesiącu</w:t>
            </w:r>
          </w:p>
        </w:tc>
        <w:tc>
          <w:tcPr>
            <w:tcW w:w="1985" w:type="dxa"/>
            <w:tcBorders>
              <w:top w:val="nil"/>
              <w:bottom w:val="nil"/>
              <w:right w:val="single" w:sz="12" w:space="0" w:color="auto"/>
            </w:tcBorders>
            <w:noWrap/>
            <w:vAlign w:val="center"/>
          </w:tcPr>
          <w:p w14:paraId="12425204" w14:textId="77777777" w:rsidR="001676E4" w:rsidRPr="005952CC" w:rsidRDefault="001676E4" w:rsidP="003D66E5">
            <w:pPr>
              <w:jc w:val="right"/>
              <w:rPr>
                <w:rFonts w:cs="Arial"/>
                <w:color w:val="000000"/>
                <w:sz w:val="18"/>
                <w:szCs w:val="18"/>
              </w:rPr>
            </w:pPr>
            <w:r w:rsidRPr="005952CC">
              <w:rPr>
                <w:rFonts w:cs="Arial"/>
                <w:color w:val="000000"/>
                <w:sz w:val="18"/>
                <w:szCs w:val="18"/>
              </w:rPr>
              <w:t>4,0</w:t>
            </w:r>
          </w:p>
        </w:tc>
        <w:tc>
          <w:tcPr>
            <w:tcW w:w="1984" w:type="dxa"/>
            <w:tcBorders>
              <w:top w:val="nil"/>
              <w:bottom w:val="nil"/>
              <w:right w:val="single" w:sz="12" w:space="0" w:color="auto"/>
            </w:tcBorders>
            <w:vAlign w:val="center"/>
          </w:tcPr>
          <w:p w14:paraId="15512AA3" w14:textId="77777777" w:rsidR="001676E4" w:rsidRPr="005952CC" w:rsidRDefault="001676E4" w:rsidP="003D66E5">
            <w:pPr>
              <w:jc w:val="right"/>
              <w:rPr>
                <w:rFonts w:cs="Arial"/>
                <w:color w:val="000000"/>
                <w:sz w:val="18"/>
                <w:szCs w:val="18"/>
              </w:rPr>
            </w:pPr>
            <w:r w:rsidRPr="005952CC">
              <w:rPr>
                <w:rFonts w:cs="Arial"/>
                <w:color w:val="000000"/>
                <w:sz w:val="18"/>
                <w:szCs w:val="18"/>
              </w:rPr>
              <w:t>4,0</w:t>
            </w:r>
          </w:p>
        </w:tc>
      </w:tr>
      <w:tr w:rsidR="001676E4" w:rsidRPr="005952CC" w14:paraId="159D7801"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7C560CFB"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0C3D0394" w14:textId="77777777" w:rsidR="001676E4" w:rsidRPr="005952CC" w:rsidRDefault="001676E4" w:rsidP="003D66E5">
            <w:pPr>
              <w:spacing w:after="120"/>
              <w:rPr>
                <w:rFonts w:cs="Arial"/>
                <w:color w:val="000000"/>
                <w:sz w:val="18"/>
                <w:szCs w:val="18"/>
              </w:rPr>
            </w:pPr>
            <w:r w:rsidRPr="005952CC">
              <w:rPr>
                <w:rFonts w:cs="Arial"/>
                <w:color w:val="000000"/>
                <w:sz w:val="18"/>
                <w:szCs w:val="18"/>
              </w:rPr>
              <w:t>2-3 razy w tygodniu</w:t>
            </w:r>
          </w:p>
        </w:tc>
        <w:tc>
          <w:tcPr>
            <w:tcW w:w="1985" w:type="dxa"/>
            <w:tcBorders>
              <w:top w:val="nil"/>
              <w:bottom w:val="nil"/>
              <w:right w:val="single" w:sz="12" w:space="0" w:color="auto"/>
            </w:tcBorders>
            <w:noWrap/>
            <w:vAlign w:val="center"/>
          </w:tcPr>
          <w:p w14:paraId="1BBF0B20" w14:textId="77777777" w:rsidR="001676E4" w:rsidRPr="005952CC" w:rsidRDefault="001676E4" w:rsidP="003D66E5">
            <w:pPr>
              <w:jc w:val="right"/>
              <w:rPr>
                <w:rFonts w:cs="Arial"/>
                <w:color w:val="000000"/>
                <w:sz w:val="18"/>
                <w:szCs w:val="18"/>
              </w:rPr>
            </w:pPr>
            <w:r w:rsidRPr="005952CC">
              <w:rPr>
                <w:rFonts w:cs="Arial"/>
                <w:color w:val="000000"/>
                <w:sz w:val="18"/>
                <w:szCs w:val="18"/>
              </w:rPr>
              <w:t>2,6</w:t>
            </w:r>
          </w:p>
        </w:tc>
        <w:tc>
          <w:tcPr>
            <w:tcW w:w="1984" w:type="dxa"/>
            <w:tcBorders>
              <w:top w:val="nil"/>
              <w:bottom w:val="nil"/>
              <w:right w:val="single" w:sz="12" w:space="0" w:color="auto"/>
            </w:tcBorders>
            <w:vAlign w:val="center"/>
          </w:tcPr>
          <w:p w14:paraId="0B1A939C" w14:textId="77777777" w:rsidR="001676E4" w:rsidRPr="005952CC" w:rsidRDefault="001676E4" w:rsidP="003D66E5">
            <w:pPr>
              <w:jc w:val="right"/>
              <w:rPr>
                <w:rFonts w:cs="Arial"/>
                <w:color w:val="000000"/>
                <w:sz w:val="18"/>
                <w:szCs w:val="18"/>
              </w:rPr>
            </w:pPr>
            <w:r w:rsidRPr="005952CC">
              <w:rPr>
                <w:rFonts w:cs="Arial"/>
                <w:color w:val="000000"/>
                <w:sz w:val="18"/>
                <w:szCs w:val="18"/>
              </w:rPr>
              <w:t>1,5</w:t>
            </w:r>
          </w:p>
        </w:tc>
      </w:tr>
      <w:tr w:rsidR="001676E4" w:rsidRPr="005952CC" w14:paraId="7FA3E51C"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551177E8"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nil"/>
            </w:tcBorders>
          </w:tcPr>
          <w:p w14:paraId="1A31EC4E" w14:textId="77777777" w:rsidR="001676E4" w:rsidRPr="005952CC" w:rsidRDefault="001676E4" w:rsidP="003D66E5">
            <w:pPr>
              <w:spacing w:after="120"/>
              <w:rPr>
                <w:rFonts w:cs="Arial"/>
                <w:color w:val="000000"/>
                <w:sz w:val="18"/>
                <w:szCs w:val="18"/>
              </w:rPr>
            </w:pPr>
            <w:r w:rsidRPr="005952CC">
              <w:rPr>
                <w:rFonts w:cs="Arial"/>
                <w:color w:val="000000"/>
                <w:sz w:val="18"/>
                <w:szCs w:val="18"/>
              </w:rPr>
              <w:t>4-5 razy w tygodniu</w:t>
            </w:r>
          </w:p>
        </w:tc>
        <w:tc>
          <w:tcPr>
            <w:tcW w:w="1985" w:type="dxa"/>
            <w:tcBorders>
              <w:top w:val="nil"/>
              <w:bottom w:val="nil"/>
              <w:right w:val="single" w:sz="12" w:space="0" w:color="auto"/>
            </w:tcBorders>
            <w:noWrap/>
            <w:vAlign w:val="center"/>
          </w:tcPr>
          <w:p w14:paraId="08432AD4" w14:textId="77777777" w:rsidR="001676E4" w:rsidRPr="005952CC" w:rsidRDefault="001676E4" w:rsidP="003D66E5">
            <w:pPr>
              <w:jc w:val="right"/>
              <w:rPr>
                <w:rFonts w:cs="Arial"/>
                <w:color w:val="000000"/>
                <w:sz w:val="18"/>
                <w:szCs w:val="18"/>
              </w:rPr>
            </w:pPr>
            <w:r w:rsidRPr="005952CC">
              <w:rPr>
                <w:rFonts w:cs="Arial"/>
                <w:color w:val="000000"/>
                <w:sz w:val="18"/>
                <w:szCs w:val="18"/>
              </w:rPr>
              <w:t>2,1</w:t>
            </w:r>
          </w:p>
        </w:tc>
        <w:tc>
          <w:tcPr>
            <w:tcW w:w="1984" w:type="dxa"/>
            <w:tcBorders>
              <w:top w:val="nil"/>
              <w:bottom w:val="nil"/>
              <w:right w:val="single" w:sz="12" w:space="0" w:color="auto"/>
            </w:tcBorders>
            <w:vAlign w:val="center"/>
          </w:tcPr>
          <w:p w14:paraId="13CECD3A" w14:textId="77777777" w:rsidR="001676E4" w:rsidRPr="005952CC" w:rsidRDefault="001676E4" w:rsidP="003D66E5">
            <w:pPr>
              <w:jc w:val="right"/>
              <w:rPr>
                <w:rFonts w:cs="Arial"/>
                <w:color w:val="000000"/>
                <w:sz w:val="18"/>
                <w:szCs w:val="18"/>
              </w:rPr>
            </w:pPr>
            <w:r w:rsidRPr="005952CC">
              <w:rPr>
                <w:rFonts w:cs="Arial"/>
                <w:color w:val="000000"/>
                <w:sz w:val="18"/>
                <w:szCs w:val="18"/>
              </w:rPr>
              <w:t>1,3</w:t>
            </w:r>
          </w:p>
        </w:tc>
      </w:tr>
      <w:tr w:rsidR="001676E4" w:rsidRPr="005952CC" w14:paraId="138F955F"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951" w:type="dxa"/>
            <w:vMerge/>
            <w:tcBorders>
              <w:left w:val="single" w:sz="12" w:space="0" w:color="auto"/>
              <w:bottom w:val="single" w:sz="12" w:space="0" w:color="auto"/>
            </w:tcBorders>
          </w:tcPr>
          <w:p w14:paraId="4D996878" w14:textId="77777777" w:rsidR="001676E4" w:rsidRPr="005952CC" w:rsidRDefault="001676E4" w:rsidP="003D66E5">
            <w:pPr>
              <w:widowControl w:val="0"/>
              <w:tabs>
                <w:tab w:val="center" w:pos="3456"/>
              </w:tabs>
              <w:autoSpaceDE w:val="0"/>
              <w:autoSpaceDN w:val="0"/>
              <w:adjustRightInd w:val="0"/>
              <w:spacing w:line="360" w:lineRule="auto"/>
              <w:jc w:val="both"/>
              <w:rPr>
                <w:rFonts w:cs="Arial"/>
                <w:sz w:val="18"/>
                <w:szCs w:val="18"/>
              </w:rPr>
            </w:pPr>
          </w:p>
        </w:tc>
        <w:tc>
          <w:tcPr>
            <w:tcW w:w="3260" w:type="dxa"/>
            <w:tcBorders>
              <w:top w:val="nil"/>
              <w:left w:val="single" w:sz="12" w:space="0" w:color="auto"/>
              <w:bottom w:val="single" w:sz="12" w:space="0" w:color="auto"/>
            </w:tcBorders>
          </w:tcPr>
          <w:p w14:paraId="1149A2D5" w14:textId="77777777" w:rsidR="001676E4" w:rsidRPr="005952CC" w:rsidRDefault="001676E4" w:rsidP="003D66E5">
            <w:pPr>
              <w:spacing w:after="120"/>
              <w:rPr>
                <w:rFonts w:cs="Arial"/>
                <w:color w:val="000000"/>
                <w:sz w:val="18"/>
                <w:szCs w:val="18"/>
              </w:rPr>
            </w:pPr>
            <w:r w:rsidRPr="005952CC">
              <w:rPr>
                <w:rFonts w:cs="Arial"/>
                <w:color w:val="000000"/>
                <w:sz w:val="18"/>
                <w:szCs w:val="18"/>
              </w:rPr>
              <w:t>6 lub więcej razy w tygodniu</w:t>
            </w:r>
          </w:p>
        </w:tc>
        <w:tc>
          <w:tcPr>
            <w:tcW w:w="1985" w:type="dxa"/>
            <w:tcBorders>
              <w:top w:val="nil"/>
              <w:bottom w:val="single" w:sz="12" w:space="0" w:color="auto"/>
              <w:right w:val="single" w:sz="12" w:space="0" w:color="auto"/>
            </w:tcBorders>
            <w:noWrap/>
            <w:vAlign w:val="center"/>
          </w:tcPr>
          <w:p w14:paraId="50F873AF" w14:textId="77777777" w:rsidR="001676E4" w:rsidRPr="005952CC" w:rsidRDefault="001676E4" w:rsidP="003D66E5">
            <w:pPr>
              <w:jc w:val="right"/>
              <w:rPr>
                <w:rFonts w:cs="Arial"/>
                <w:color w:val="000000"/>
                <w:sz w:val="18"/>
                <w:szCs w:val="18"/>
              </w:rPr>
            </w:pPr>
            <w:r w:rsidRPr="005952CC">
              <w:rPr>
                <w:rFonts w:cs="Arial"/>
                <w:color w:val="000000"/>
                <w:sz w:val="18"/>
                <w:szCs w:val="18"/>
              </w:rPr>
              <w:t>3,5</w:t>
            </w:r>
          </w:p>
        </w:tc>
        <w:tc>
          <w:tcPr>
            <w:tcW w:w="1984" w:type="dxa"/>
            <w:tcBorders>
              <w:top w:val="nil"/>
              <w:bottom w:val="single" w:sz="12" w:space="0" w:color="auto"/>
              <w:right w:val="single" w:sz="12" w:space="0" w:color="auto"/>
            </w:tcBorders>
            <w:vAlign w:val="center"/>
          </w:tcPr>
          <w:p w14:paraId="667AE427" w14:textId="77777777" w:rsidR="001676E4" w:rsidRPr="005952CC" w:rsidRDefault="001676E4" w:rsidP="003D66E5">
            <w:pPr>
              <w:jc w:val="right"/>
              <w:rPr>
                <w:rFonts w:cs="Arial"/>
                <w:color w:val="000000"/>
                <w:sz w:val="18"/>
                <w:szCs w:val="18"/>
              </w:rPr>
            </w:pPr>
            <w:r w:rsidRPr="005952CC">
              <w:rPr>
                <w:rFonts w:cs="Arial"/>
                <w:color w:val="000000"/>
                <w:sz w:val="18"/>
                <w:szCs w:val="18"/>
              </w:rPr>
              <w:t>1,4</w:t>
            </w:r>
          </w:p>
        </w:tc>
      </w:tr>
    </w:tbl>
    <w:p w14:paraId="791E9B44"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066211E4" w14:textId="75B91CAC" w:rsidR="001676E4" w:rsidRPr="00317DE2" w:rsidRDefault="001676E4" w:rsidP="001676E4">
      <w:pPr>
        <w:pStyle w:val="Tekstpodstawowy"/>
        <w:spacing w:before="240" w:line="360" w:lineRule="auto"/>
        <w:ind w:firstLine="567"/>
        <w:jc w:val="both"/>
        <w:rPr>
          <w:rFonts w:ascii="Arial" w:hAnsi="Arial" w:cs="Arial"/>
          <w:bCs/>
          <w:color w:val="000000"/>
          <w:sz w:val="22"/>
          <w:szCs w:val="22"/>
        </w:rPr>
      </w:pPr>
      <w:r w:rsidRPr="00317DE2">
        <w:rPr>
          <w:rFonts w:ascii="Arial" w:hAnsi="Arial" w:cs="Arial"/>
          <w:bCs/>
          <w:color w:val="000000"/>
          <w:sz w:val="22"/>
          <w:szCs w:val="22"/>
        </w:rPr>
        <w:t xml:space="preserve">W badaniu wyróżniono miejsca uprawiania hazardu – tradycyjne, takie jak bary, kluby i tym podobne oraz granie przez </w:t>
      </w:r>
      <w:proofErr w:type="spellStart"/>
      <w:r w:rsidRPr="00317DE2">
        <w:rPr>
          <w:rFonts w:ascii="Arial" w:hAnsi="Arial" w:cs="Arial"/>
          <w:bCs/>
          <w:color w:val="000000"/>
          <w:sz w:val="22"/>
          <w:szCs w:val="22"/>
        </w:rPr>
        <w:t>internet</w:t>
      </w:r>
      <w:proofErr w:type="spellEnd"/>
      <w:r w:rsidRPr="00317DE2">
        <w:rPr>
          <w:rFonts w:ascii="Arial" w:hAnsi="Arial" w:cs="Arial"/>
          <w:bCs/>
          <w:color w:val="000000"/>
          <w:sz w:val="22"/>
          <w:szCs w:val="22"/>
        </w:rPr>
        <w:t>. W odniesieniu do tradycyjnego sposobu uprawiania hazardu to w młodszej i w starszej kohorcie największą popularnością cieszyły się zakłady sportowe (odpowiednio 13,3% i 17,3%) oraz loterie (odpowiednio 11,7% i 12,5%). Na trzecim miejscu w młodszej kohorcie znalazły się automaty (11,1%), a w starszej gry w karty i kości na pieniądze (10,5%).</w:t>
      </w:r>
    </w:p>
    <w:p w14:paraId="7B550A07" w14:textId="28A55F51" w:rsidR="001676E4" w:rsidRPr="00A43860" w:rsidRDefault="001676E4" w:rsidP="001676E4">
      <w:pPr>
        <w:pStyle w:val="Legenda"/>
        <w:keepNext/>
        <w:rPr>
          <w:sz w:val="20"/>
          <w:szCs w:val="16"/>
        </w:rPr>
      </w:pPr>
      <w:bookmarkStart w:id="106" w:name="_Toc214279710"/>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25</w:t>
      </w:r>
      <w:r w:rsidRPr="00A43860">
        <w:rPr>
          <w:sz w:val="20"/>
          <w:szCs w:val="16"/>
        </w:rPr>
        <w:fldChar w:fldCharType="end"/>
      </w:r>
      <w:r w:rsidRPr="00A43860">
        <w:rPr>
          <w:sz w:val="20"/>
          <w:szCs w:val="16"/>
        </w:rPr>
        <w:t>. Częstotliwość grania w poszczególne gry hazardowe w czasie ostatnich 12 miesięcy przed badaniem w miejscach takich jak bary i kluby, itp. (województwo lubelskie).</w:t>
      </w:r>
      <w:bookmarkEnd w:id="106"/>
    </w:p>
    <w:tbl>
      <w:tblPr>
        <w:tblW w:w="9498" w:type="dxa"/>
        <w:tblInd w:w="93" w:type="dxa"/>
        <w:tblLayout w:type="fixed"/>
        <w:tblCellMar>
          <w:left w:w="93" w:type="dxa"/>
          <w:right w:w="93" w:type="dxa"/>
        </w:tblCellMar>
        <w:tblLook w:val="0000" w:firstRow="0" w:lastRow="0" w:firstColumn="0" w:lastColumn="0" w:noHBand="0" w:noVBand="0"/>
      </w:tblPr>
      <w:tblGrid>
        <w:gridCol w:w="1800"/>
        <w:gridCol w:w="3162"/>
        <w:gridCol w:w="1134"/>
        <w:gridCol w:w="1134"/>
        <w:gridCol w:w="1134"/>
        <w:gridCol w:w="1134"/>
      </w:tblGrid>
      <w:tr w:rsidR="001676E4" w:rsidRPr="0092722E" w14:paraId="16095DE9" w14:textId="77777777" w:rsidTr="003D66E5">
        <w:trPr>
          <w:trHeight w:val="512"/>
        </w:trPr>
        <w:tc>
          <w:tcPr>
            <w:tcW w:w="1800" w:type="dxa"/>
            <w:tcBorders>
              <w:top w:val="single" w:sz="12" w:space="0" w:color="000000"/>
              <w:left w:val="single" w:sz="12" w:space="0" w:color="000000"/>
              <w:bottom w:val="single" w:sz="12" w:space="0" w:color="000000"/>
              <w:right w:val="single" w:sz="12" w:space="0" w:color="auto"/>
            </w:tcBorders>
            <w:shd w:val="clear" w:color="000000" w:fill="FFFFFF"/>
            <w:vAlign w:val="center"/>
          </w:tcPr>
          <w:p w14:paraId="086EA336"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Kohorta</w:t>
            </w:r>
          </w:p>
        </w:tc>
        <w:tc>
          <w:tcPr>
            <w:tcW w:w="3162" w:type="dxa"/>
            <w:tcBorders>
              <w:top w:val="single" w:sz="12" w:space="0" w:color="000000"/>
              <w:left w:val="single" w:sz="12" w:space="0" w:color="auto"/>
              <w:bottom w:val="single" w:sz="12" w:space="0" w:color="000000"/>
              <w:right w:val="single" w:sz="12" w:space="0" w:color="000000"/>
            </w:tcBorders>
            <w:shd w:val="clear" w:color="000000" w:fill="FFFFFF"/>
            <w:vAlign w:val="center"/>
          </w:tcPr>
          <w:p w14:paraId="1777FB0D"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p>
        </w:tc>
        <w:tc>
          <w:tcPr>
            <w:tcW w:w="1134"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70E6F08B"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W ogóle nie</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66A707FE"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Raz na miesiąc lub rzadziej</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30EA9316"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2-4 razy w miesiącu</w:t>
            </w:r>
          </w:p>
        </w:tc>
        <w:tc>
          <w:tcPr>
            <w:tcW w:w="1134"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3219777A"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2-3 razy w tygodniu</w:t>
            </w:r>
          </w:p>
        </w:tc>
      </w:tr>
      <w:tr w:rsidR="001676E4" w:rsidRPr="005952CC" w14:paraId="0938465B" w14:textId="77777777" w:rsidTr="003D66E5">
        <w:trPr>
          <w:cantSplit/>
          <w:trHeight w:val="544"/>
        </w:trPr>
        <w:tc>
          <w:tcPr>
            <w:tcW w:w="1800" w:type="dxa"/>
            <w:vMerge w:val="restart"/>
            <w:tcBorders>
              <w:top w:val="single" w:sz="12" w:space="0" w:color="000000"/>
              <w:left w:val="single" w:sz="12" w:space="0" w:color="000000"/>
              <w:right w:val="single" w:sz="12" w:space="0" w:color="auto"/>
            </w:tcBorders>
            <w:shd w:val="clear" w:color="000000" w:fill="FFFFFF"/>
          </w:tcPr>
          <w:p w14:paraId="00647E47"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Młodsza kohorta (15-16 lat)</w:t>
            </w:r>
          </w:p>
          <w:p w14:paraId="2A4D19F9"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 xml:space="preserve"> </w:t>
            </w:r>
          </w:p>
          <w:p w14:paraId="6AEA376E"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 xml:space="preserve"> </w:t>
            </w:r>
          </w:p>
          <w:p w14:paraId="365D543F"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single" w:sz="12" w:space="0" w:color="000000"/>
              <w:left w:val="single" w:sz="12" w:space="0" w:color="auto"/>
              <w:bottom w:val="nil"/>
              <w:right w:val="single" w:sz="12" w:space="0" w:color="000000"/>
            </w:tcBorders>
            <w:shd w:val="clear" w:color="000000" w:fill="FFFFFF"/>
          </w:tcPr>
          <w:p w14:paraId="3575D445"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Automaty</w:t>
            </w:r>
          </w:p>
        </w:tc>
        <w:tc>
          <w:tcPr>
            <w:tcW w:w="1134" w:type="dxa"/>
            <w:tcBorders>
              <w:top w:val="single" w:sz="12" w:space="0" w:color="000000"/>
              <w:left w:val="single" w:sz="2" w:space="0" w:color="000000"/>
              <w:bottom w:val="nil"/>
              <w:right w:val="single" w:sz="12" w:space="0" w:color="000000"/>
            </w:tcBorders>
            <w:shd w:val="clear" w:color="000000" w:fill="FFFFFF"/>
            <w:vAlign w:val="center"/>
          </w:tcPr>
          <w:p w14:paraId="045D3DAD"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88,9</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0813CAD3"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7,7</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7A58C43C"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w:t>
            </w:r>
          </w:p>
        </w:tc>
        <w:tc>
          <w:tcPr>
            <w:tcW w:w="1134" w:type="dxa"/>
            <w:tcBorders>
              <w:top w:val="single" w:sz="12" w:space="0" w:color="000000"/>
              <w:left w:val="single" w:sz="2" w:space="0" w:color="000000"/>
              <w:bottom w:val="nil"/>
              <w:right w:val="single" w:sz="12" w:space="0" w:color="000000"/>
            </w:tcBorders>
            <w:shd w:val="clear" w:color="000000" w:fill="FFFFFF"/>
            <w:vAlign w:val="center"/>
          </w:tcPr>
          <w:p w14:paraId="3A6D2BDB"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2,5</w:t>
            </w:r>
          </w:p>
        </w:tc>
      </w:tr>
      <w:tr w:rsidR="001676E4" w:rsidRPr="005952CC" w14:paraId="2E354800"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4EEFC3B6"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5F33EEDD"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665F74A4"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89,6</w:t>
            </w:r>
          </w:p>
        </w:tc>
        <w:tc>
          <w:tcPr>
            <w:tcW w:w="1134" w:type="dxa"/>
            <w:tcBorders>
              <w:top w:val="nil"/>
              <w:left w:val="single" w:sz="2" w:space="0" w:color="000000"/>
              <w:bottom w:val="nil"/>
              <w:right w:val="single" w:sz="2" w:space="0" w:color="000000"/>
            </w:tcBorders>
            <w:shd w:val="clear" w:color="000000" w:fill="FFFFFF"/>
            <w:vAlign w:val="center"/>
          </w:tcPr>
          <w:p w14:paraId="770AA80B"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6,6</w:t>
            </w:r>
          </w:p>
        </w:tc>
        <w:tc>
          <w:tcPr>
            <w:tcW w:w="1134" w:type="dxa"/>
            <w:tcBorders>
              <w:top w:val="nil"/>
              <w:left w:val="single" w:sz="2" w:space="0" w:color="000000"/>
              <w:bottom w:val="nil"/>
              <w:right w:val="single" w:sz="2" w:space="0" w:color="000000"/>
            </w:tcBorders>
            <w:shd w:val="clear" w:color="000000" w:fill="FFFFFF"/>
            <w:vAlign w:val="center"/>
          </w:tcPr>
          <w:p w14:paraId="6EDDA07C"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1,5</w:t>
            </w:r>
          </w:p>
        </w:tc>
        <w:tc>
          <w:tcPr>
            <w:tcW w:w="1134" w:type="dxa"/>
            <w:tcBorders>
              <w:top w:val="nil"/>
              <w:left w:val="single" w:sz="2" w:space="0" w:color="000000"/>
              <w:bottom w:val="nil"/>
              <w:right w:val="single" w:sz="12" w:space="0" w:color="000000"/>
            </w:tcBorders>
            <w:shd w:val="clear" w:color="000000" w:fill="FFFFFF"/>
            <w:vAlign w:val="center"/>
          </w:tcPr>
          <w:p w14:paraId="4762A3D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2,3</w:t>
            </w:r>
          </w:p>
        </w:tc>
      </w:tr>
      <w:tr w:rsidR="001676E4" w:rsidRPr="005952CC" w14:paraId="162C2D81"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4D18055C"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2D9280B3" w14:textId="77777777" w:rsidR="001676E4" w:rsidRPr="005952CC" w:rsidRDefault="001676E4" w:rsidP="003D66E5">
            <w:pPr>
              <w:widowControl w:val="0"/>
              <w:tabs>
                <w:tab w:val="left" w:pos="2517"/>
              </w:tabs>
              <w:autoSpaceDE w:val="0"/>
              <w:autoSpaceDN w:val="0"/>
              <w:adjustRightInd w:val="0"/>
              <w:spacing w:after="0"/>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68602A8B"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88,3</w:t>
            </w:r>
          </w:p>
        </w:tc>
        <w:tc>
          <w:tcPr>
            <w:tcW w:w="1134" w:type="dxa"/>
            <w:tcBorders>
              <w:top w:val="nil"/>
              <w:left w:val="single" w:sz="2" w:space="0" w:color="000000"/>
              <w:bottom w:val="nil"/>
              <w:right w:val="single" w:sz="2" w:space="0" w:color="000000"/>
            </w:tcBorders>
            <w:shd w:val="clear" w:color="000000" w:fill="FFFFFF"/>
            <w:vAlign w:val="center"/>
          </w:tcPr>
          <w:p w14:paraId="4C4CF654"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7,5</w:t>
            </w:r>
          </w:p>
        </w:tc>
        <w:tc>
          <w:tcPr>
            <w:tcW w:w="1134" w:type="dxa"/>
            <w:tcBorders>
              <w:top w:val="nil"/>
              <w:left w:val="single" w:sz="2" w:space="0" w:color="000000"/>
              <w:bottom w:val="nil"/>
              <w:right w:val="single" w:sz="2" w:space="0" w:color="000000"/>
            </w:tcBorders>
            <w:shd w:val="clear" w:color="000000" w:fill="FFFFFF"/>
            <w:vAlign w:val="center"/>
          </w:tcPr>
          <w:p w14:paraId="3F92DA91"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w:t>
            </w:r>
          </w:p>
        </w:tc>
        <w:tc>
          <w:tcPr>
            <w:tcW w:w="1134" w:type="dxa"/>
            <w:tcBorders>
              <w:top w:val="nil"/>
              <w:left w:val="single" w:sz="2" w:space="0" w:color="000000"/>
              <w:bottom w:val="nil"/>
              <w:right w:val="single" w:sz="12" w:space="0" w:color="000000"/>
            </w:tcBorders>
            <w:shd w:val="clear" w:color="000000" w:fill="FFFFFF"/>
            <w:vAlign w:val="center"/>
          </w:tcPr>
          <w:p w14:paraId="7FD7D5A6"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3,3</w:t>
            </w:r>
          </w:p>
        </w:tc>
      </w:tr>
      <w:tr w:rsidR="001676E4" w:rsidRPr="005952CC" w14:paraId="1D6F509B" w14:textId="77777777" w:rsidTr="003D66E5">
        <w:trPr>
          <w:cantSplit/>
          <w:trHeight w:val="530"/>
        </w:trPr>
        <w:tc>
          <w:tcPr>
            <w:tcW w:w="1800" w:type="dxa"/>
            <w:vMerge/>
            <w:tcBorders>
              <w:left w:val="single" w:sz="12" w:space="0" w:color="000000"/>
              <w:right w:val="single" w:sz="12" w:space="0" w:color="auto"/>
            </w:tcBorders>
            <w:shd w:val="clear" w:color="000000" w:fill="FFFFFF"/>
          </w:tcPr>
          <w:p w14:paraId="37DA6C6E"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right w:val="single" w:sz="12" w:space="0" w:color="000000"/>
            </w:tcBorders>
            <w:shd w:val="clear" w:color="000000" w:fill="FFFFFF"/>
          </w:tcPr>
          <w:p w14:paraId="517E8523"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right w:val="single" w:sz="12" w:space="0" w:color="000000"/>
            </w:tcBorders>
            <w:shd w:val="clear" w:color="000000" w:fill="FFFFFF"/>
            <w:vAlign w:val="center"/>
          </w:tcPr>
          <w:p w14:paraId="7DC66CFF"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86,7</w:t>
            </w:r>
          </w:p>
        </w:tc>
        <w:tc>
          <w:tcPr>
            <w:tcW w:w="1134" w:type="dxa"/>
            <w:tcBorders>
              <w:top w:val="nil"/>
              <w:left w:val="single" w:sz="2" w:space="0" w:color="000000"/>
              <w:right w:val="single" w:sz="2" w:space="0" w:color="000000"/>
            </w:tcBorders>
            <w:shd w:val="clear" w:color="000000" w:fill="FFFFFF"/>
            <w:vAlign w:val="center"/>
          </w:tcPr>
          <w:p w14:paraId="4050784F"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6,7</w:t>
            </w:r>
          </w:p>
        </w:tc>
        <w:tc>
          <w:tcPr>
            <w:tcW w:w="1134" w:type="dxa"/>
            <w:tcBorders>
              <w:top w:val="nil"/>
              <w:left w:val="single" w:sz="2" w:space="0" w:color="000000"/>
              <w:right w:val="single" w:sz="2" w:space="0" w:color="000000"/>
            </w:tcBorders>
            <w:shd w:val="clear" w:color="000000" w:fill="FFFFFF"/>
            <w:vAlign w:val="center"/>
          </w:tcPr>
          <w:p w14:paraId="6A244A56"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2,6</w:t>
            </w:r>
          </w:p>
        </w:tc>
        <w:tc>
          <w:tcPr>
            <w:tcW w:w="1134" w:type="dxa"/>
            <w:tcBorders>
              <w:top w:val="nil"/>
              <w:left w:val="single" w:sz="2" w:space="0" w:color="000000"/>
              <w:right w:val="single" w:sz="12" w:space="0" w:color="000000"/>
            </w:tcBorders>
            <w:shd w:val="clear" w:color="000000" w:fill="FFFFFF"/>
            <w:vAlign w:val="center"/>
          </w:tcPr>
          <w:p w14:paraId="0D44A4B4"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4,0</w:t>
            </w:r>
          </w:p>
        </w:tc>
      </w:tr>
      <w:tr w:rsidR="001676E4" w:rsidRPr="005952CC" w14:paraId="3B206197" w14:textId="77777777" w:rsidTr="003D66E5">
        <w:trPr>
          <w:cantSplit/>
          <w:trHeight w:val="544"/>
        </w:trPr>
        <w:tc>
          <w:tcPr>
            <w:tcW w:w="1800" w:type="dxa"/>
            <w:vMerge w:val="restart"/>
            <w:tcBorders>
              <w:top w:val="single" w:sz="4" w:space="0" w:color="000000"/>
              <w:left w:val="single" w:sz="12" w:space="0" w:color="000000"/>
              <w:right w:val="single" w:sz="12" w:space="0" w:color="auto"/>
            </w:tcBorders>
            <w:shd w:val="clear" w:color="000000" w:fill="FFFFFF"/>
          </w:tcPr>
          <w:p w14:paraId="5273FB29"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Starsza kohorta (17-18 lat)</w:t>
            </w:r>
          </w:p>
          <w:p w14:paraId="46773E38"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single" w:sz="4" w:space="0" w:color="auto"/>
              <w:left w:val="single" w:sz="12" w:space="0" w:color="auto"/>
              <w:bottom w:val="nil"/>
              <w:right w:val="single" w:sz="12" w:space="0" w:color="000000"/>
            </w:tcBorders>
            <w:shd w:val="clear" w:color="000000" w:fill="FFFFFF"/>
          </w:tcPr>
          <w:p w14:paraId="679ABA84"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Automaty</w:t>
            </w:r>
          </w:p>
        </w:tc>
        <w:tc>
          <w:tcPr>
            <w:tcW w:w="1134" w:type="dxa"/>
            <w:tcBorders>
              <w:top w:val="single" w:sz="4" w:space="0" w:color="auto"/>
              <w:left w:val="single" w:sz="2" w:space="0" w:color="000000"/>
              <w:bottom w:val="nil"/>
              <w:right w:val="single" w:sz="12" w:space="0" w:color="000000"/>
            </w:tcBorders>
            <w:shd w:val="clear" w:color="000000" w:fill="FFFFFF"/>
            <w:vAlign w:val="center"/>
          </w:tcPr>
          <w:p w14:paraId="35F2416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90,1</w:t>
            </w:r>
          </w:p>
        </w:tc>
        <w:tc>
          <w:tcPr>
            <w:tcW w:w="1134" w:type="dxa"/>
            <w:tcBorders>
              <w:top w:val="single" w:sz="4" w:space="0" w:color="auto"/>
              <w:left w:val="single" w:sz="2" w:space="0" w:color="000000"/>
              <w:bottom w:val="nil"/>
              <w:right w:val="single" w:sz="2" w:space="0" w:color="000000"/>
            </w:tcBorders>
            <w:shd w:val="clear" w:color="000000" w:fill="FFFFFF"/>
            <w:vAlign w:val="center"/>
          </w:tcPr>
          <w:p w14:paraId="29C4ECE2"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6,4</w:t>
            </w:r>
          </w:p>
        </w:tc>
        <w:tc>
          <w:tcPr>
            <w:tcW w:w="1134" w:type="dxa"/>
            <w:tcBorders>
              <w:top w:val="single" w:sz="4" w:space="0" w:color="auto"/>
              <w:left w:val="single" w:sz="2" w:space="0" w:color="000000"/>
              <w:bottom w:val="nil"/>
              <w:right w:val="single" w:sz="2" w:space="0" w:color="000000"/>
            </w:tcBorders>
            <w:shd w:val="clear" w:color="000000" w:fill="FFFFFF"/>
            <w:vAlign w:val="center"/>
          </w:tcPr>
          <w:p w14:paraId="02C05E5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w:t>
            </w:r>
          </w:p>
        </w:tc>
        <w:tc>
          <w:tcPr>
            <w:tcW w:w="1134" w:type="dxa"/>
            <w:tcBorders>
              <w:top w:val="single" w:sz="4" w:space="0" w:color="auto"/>
              <w:left w:val="single" w:sz="2" w:space="0" w:color="000000"/>
              <w:bottom w:val="nil"/>
              <w:right w:val="single" w:sz="12" w:space="0" w:color="000000"/>
            </w:tcBorders>
            <w:shd w:val="clear" w:color="000000" w:fill="FFFFFF"/>
            <w:vAlign w:val="center"/>
          </w:tcPr>
          <w:p w14:paraId="28F0DB78"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2,7</w:t>
            </w:r>
          </w:p>
        </w:tc>
      </w:tr>
      <w:tr w:rsidR="001676E4" w:rsidRPr="005952CC" w14:paraId="29F1C00E"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644CA3E9"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6B391B7A"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08DFFE80"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89,5</w:t>
            </w:r>
          </w:p>
        </w:tc>
        <w:tc>
          <w:tcPr>
            <w:tcW w:w="1134" w:type="dxa"/>
            <w:tcBorders>
              <w:top w:val="nil"/>
              <w:left w:val="single" w:sz="2" w:space="0" w:color="000000"/>
              <w:bottom w:val="nil"/>
              <w:right w:val="single" w:sz="2" w:space="0" w:color="000000"/>
            </w:tcBorders>
            <w:shd w:val="clear" w:color="000000" w:fill="FFFFFF"/>
            <w:vAlign w:val="center"/>
          </w:tcPr>
          <w:p w14:paraId="14332CA0"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6,3</w:t>
            </w:r>
          </w:p>
        </w:tc>
        <w:tc>
          <w:tcPr>
            <w:tcW w:w="1134" w:type="dxa"/>
            <w:tcBorders>
              <w:top w:val="nil"/>
              <w:left w:val="single" w:sz="2" w:space="0" w:color="000000"/>
              <w:bottom w:val="nil"/>
              <w:right w:val="single" w:sz="2" w:space="0" w:color="000000"/>
            </w:tcBorders>
            <w:shd w:val="clear" w:color="000000" w:fill="FFFFFF"/>
            <w:vAlign w:val="center"/>
          </w:tcPr>
          <w:p w14:paraId="0A43AB7A"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1,5</w:t>
            </w:r>
          </w:p>
        </w:tc>
        <w:tc>
          <w:tcPr>
            <w:tcW w:w="1134" w:type="dxa"/>
            <w:tcBorders>
              <w:top w:val="nil"/>
              <w:left w:val="single" w:sz="2" w:space="0" w:color="000000"/>
              <w:bottom w:val="nil"/>
              <w:right w:val="single" w:sz="12" w:space="0" w:color="000000"/>
            </w:tcBorders>
            <w:shd w:val="clear" w:color="000000" w:fill="FFFFFF"/>
            <w:vAlign w:val="center"/>
          </w:tcPr>
          <w:p w14:paraId="61162762"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2,5</w:t>
            </w:r>
          </w:p>
        </w:tc>
      </w:tr>
      <w:tr w:rsidR="001676E4" w:rsidRPr="005952CC" w14:paraId="2729B4CA"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3A61B0AE"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50C3C3A6" w14:textId="77777777" w:rsidR="001676E4" w:rsidRPr="005952CC" w:rsidRDefault="001676E4" w:rsidP="003D66E5">
            <w:pPr>
              <w:widowControl w:val="0"/>
              <w:tabs>
                <w:tab w:val="left" w:pos="2517"/>
              </w:tabs>
              <w:autoSpaceDE w:val="0"/>
              <w:autoSpaceDN w:val="0"/>
              <w:adjustRightInd w:val="0"/>
              <w:spacing w:after="0"/>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0135993D"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87,5</w:t>
            </w:r>
          </w:p>
        </w:tc>
        <w:tc>
          <w:tcPr>
            <w:tcW w:w="1134" w:type="dxa"/>
            <w:tcBorders>
              <w:top w:val="nil"/>
              <w:left w:val="single" w:sz="2" w:space="0" w:color="000000"/>
              <w:bottom w:val="nil"/>
              <w:right w:val="single" w:sz="2" w:space="0" w:color="000000"/>
            </w:tcBorders>
            <w:shd w:val="clear" w:color="000000" w:fill="FFFFFF"/>
            <w:vAlign w:val="center"/>
          </w:tcPr>
          <w:p w14:paraId="00447C26"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7,5</w:t>
            </w:r>
          </w:p>
        </w:tc>
        <w:tc>
          <w:tcPr>
            <w:tcW w:w="1134" w:type="dxa"/>
            <w:tcBorders>
              <w:top w:val="nil"/>
              <w:left w:val="single" w:sz="2" w:space="0" w:color="000000"/>
              <w:bottom w:val="nil"/>
              <w:right w:val="single" w:sz="2" w:space="0" w:color="000000"/>
            </w:tcBorders>
            <w:shd w:val="clear" w:color="000000" w:fill="FFFFFF"/>
            <w:vAlign w:val="center"/>
          </w:tcPr>
          <w:p w14:paraId="5E5B801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2,4</w:t>
            </w:r>
          </w:p>
        </w:tc>
        <w:tc>
          <w:tcPr>
            <w:tcW w:w="1134" w:type="dxa"/>
            <w:tcBorders>
              <w:top w:val="nil"/>
              <w:left w:val="single" w:sz="2" w:space="0" w:color="000000"/>
              <w:bottom w:val="nil"/>
              <w:right w:val="single" w:sz="12" w:space="0" w:color="000000"/>
            </w:tcBorders>
            <w:shd w:val="clear" w:color="000000" w:fill="FFFFFF"/>
            <w:vAlign w:val="center"/>
          </w:tcPr>
          <w:p w14:paraId="774EDAB8"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2,6</w:t>
            </w:r>
          </w:p>
        </w:tc>
      </w:tr>
      <w:tr w:rsidR="001676E4" w:rsidRPr="005952CC" w14:paraId="3C0BF789" w14:textId="77777777" w:rsidTr="003D66E5">
        <w:trPr>
          <w:cantSplit/>
          <w:trHeight w:val="492"/>
        </w:trPr>
        <w:tc>
          <w:tcPr>
            <w:tcW w:w="1800" w:type="dxa"/>
            <w:vMerge/>
            <w:tcBorders>
              <w:left w:val="single" w:sz="12" w:space="0" w:color="000000"/>
              <w:bottom w:val="single" w:sz="12" w:space="0" w:color="auto"/>
              <w:right w:val="single" w:sz="12" w:space="0" w:color="auto"/>
            </w:tcBorders>
            <w:shd w:val="clear" w:color="000000" w:fill="FFFFFF"/>
          </w:tcPr>
          <w:p w14:paraId="06096B40"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single" w:sz="12" w:space="0" w:color="auto"/>
              <w:right w:val="single" w:sz="12" w:space="0" w:color="000000"/>
            </w:tcBorders>
            <w:shd w:val="clear" w:color="000000" w:fill="FFFFFF"/>
          </w:tcPr>
          <w:p w14:paraId="32641CC4"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bottom w:val="single" w:sz="12" w:space="0" w:color="auto"/>
              <w:right w:val="single" w:sz="12" w:space="0" w:color="000000"/>
            </w:tcBorders>
            <w:shd w:val="clear" w:color="000000" w:fill="FFFFFF"/>
            <w:vAlign w:val="center"/>
          </w:tcPr>
          <w:p w14:paraId="45B04C9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82,7</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177812D5"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6,9</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74772927"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4,0</w:t>
            </w:r>
          </w:p>
        </w:tc>
        <w:tc>
          <w:tcPr>
            <w:tcW w:w="1134" w:type="dxa"/>
            <w:tcBorders>
              <w:top w:val="nil"/>
              <w:left w:val="single" w:sz="2" w:space="0" w:color="000000"/>
              <w:bottom w:val="single" w:sz="12" w:space="0" w:color="auto"/>
              <w:right w:val="single" w:sz="12" w:space="0" w:color="000000"/>
            </w:tcBorders>
            <w:shd w:val="clear" w:color="000000" w:fill="FFFFFF"/>
            <w:vAlign w:val="center"/>
          </w:tcPr>
          <w:p w14:paraId="1A72AAB7"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6,2</w:t>
            </w:r>
          </w:p>
        </w:tc>
      </w:tr>
    </w:tbl>
    <w:p w14:paraId="6A365B93"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2EFCF7C0" w14:textId="6D08D5D9" w:rsidR="001676E4" w:rsidRPr="00A43860" w:rsidRDefault="001676E4" w:rsidP="001676E4">
      <w:pPr>
        <w:pStyle w:val="Legenda"/>
        <w:keepNext/>
        <w:spacing w:after="0"/>
        <w:rPr>
          <w:sz w:val="20"/>
          <w:szCs w:val="16"/>
        </w:rPr>
      </w:pPr>
      <w:bookmarkStart w:id="107" w:name="_Toc214279711"/>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26</w:t>
      </w:r>
      <w:r w:rsidRPr="00A43860">
        <w:rPr>
          <w:sz w:val="20"/>
          <w:szCs w:val="16"/>
        </w:rPr>
        <w:fldChar w:fldCharType="end"/>
      </w:r>
      <w:r w:rsidRPr="00A43860">
        <w:rPr>
          <w:sz w:val="20"/>
          <w:szCs w:val="16"/>
        </w:rPr>
        <w:t>. Częstotliwość grania w poszczególne gry hazardowe w czasie ostatnich 12 miesięcy przed badaniem w miejscach takich jak bary i kluby, itp. (Polska)</w:t>
      </w:r>
      <w:bookmarkEnd w:id="107"/>
    </w:p>
    <w:tbl>
      <w:tblPr>
        <w:tblW w:w="9390" w:type="dxa"/>
        <w:tblInd w:w="93" w:type="dxa"/>
        <w:tblLayout w:type="fixed"/>
        <w:tblCellMar>
          <w:left w:w="93" w:type="dxa"/>
          <w:right w:w="93" w:type="dxa"/>
        </w:tblCellMar>
        <w:tblLook w:val="0000" w:firstRow="0" w:lastRow="0" w:firstColumn="0" w:lastColumn="0" w:noHBand="0" w:noVBand="0"/>
      </w:tblPr>
      <w:tblGrid>
        <w:gridCol w:w="1800"/>
        <w:gridCol w:w="3162"/>
        <w:gridCol w:w="1134"/>
        <w:gridCol w:w="1134"/>
        <w:gridCol w:w="1134"/>
        <w:gridCol w:w="1026"/>
      </w:tblGrid>
      <w:tr w:rsidR="001676E4" w:rsidRPr="0092722E" w14:paraId="0DE8941E" w14:textId="77777777" w:rsidTr="003D66E5">
        <w:trPr>
          <w:trHeight w:val="512"/>
        </w:trPr>
        <w:tc>
          <w:tcPr>
            <w:tcW w:w="1800" w:type="dxa"/>
            <w:tcBorders>
              <w:top w:val="single" w:sz="12" w:space="0" w:color="000000"/>
              <w:left w:val="single" w:sz="12" w:space="0" w:color="000000"/>
              <w:bottom w:val="single" w:sz="12" w:space="0" w:color="000000"/>
              <w:right w:val="single" w:sz="12" w:space="0" w:color="auto"/>
            </w:tcBorders>
            <w:shd w:val="clear" w:color="000000" w:fill="FFFFFF"/>
            <w:vAlign w:val="bottom"/>
          </w:tcPr>
          <w:p w14:paraId="39B947C8"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Kohorta</w:t>
            </w:r>
          </w:p>
        </w:tc>
        <w:tc>
          <w:tcPr>
            <w:tcW w:w="3162" w:type="dxa"/>
            <w:tcBorders>
              <w:top w:val="single" w:sz="12" w:space="0" w:color="000000"/>
              <w:left w:val="single" w:sz="12" w:space="0" w:color="auto"/>
              <w:bottom w:val="single" w:sz="12" w:space="0" w:color="000000"/>
              <w:right w:val="single" w:sz="12" w:space="0" w:color="000000"/>
            </w:tcBorders>
            <w:shd w:val="clear" w:color="000000" w:fill="FFFFFF"/>
            <w:vAlign w:val="bottom"/>
          </w:tcPr>
          <w:p w14:paraId="1403A4FE"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p>
        </w:tc>
        <w:tc>
          <w:tcPr>
            <w:tcW w:w="1134"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6ADD55E0"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W ogóle nie</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483455A8"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Raz na miesiąc lub rzadziej</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1AC6DB6F"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2-4 razy w miesiącu</w:t>
            </w:r>
          </w:p>
        </w:tc>
        <w:tc>
          <w:tcPr>
            <w:tcW w:w="1026"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59DCFD27"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2-3 razy w tygodniu</w:t>
            </w:r>
          </w:p>
        </w:tc>
      </w:tr>
      <w:tr w:rsidR="001676E4" w:rsidRPr="005952CC" w14:paraId="7342E53F" w14:textId="77777777" w:rsidTr="003D66E5">
        <w:trPr>
          <w:cantSplit/>
          <w:trHeight w:val="544"/>
        </w:trPr>
        <w:tc>
          <w:tcPr>
            <w:tcW w:w="1800" w:type="dxa"/>
            <w:vMerge w:val="restart"/>
            <w:tcBorders>
              <w:top w:val="single" w:sz="12" w:space="0" w:color="000000"/>
              <w:left w:val="single" w:sz="12" w:space="0" w:color="000000"/>
              <w:right w:val="single" w:sz="12" w:space="0" w:color="auto"/>
            </w:tcBorders>
            <w:shd w:val="clear" w:color="000000" w:fill="FFFFFF"/>
          </w:tcPr>
          <w:p w14:paraId="2E86F94C"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Młodsza kohorta (15-16 lat)</w:t>
            </w:r>
          </w:p>
          <w:p w14:paraId="0B16AD82"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lastRenderedPageBreak/>
              <w:t xml:space="preserve"> </w:t>
            </w:r>
          </w:p>
          <w:p w14:paraId="000AFFFD"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 xml:space="preserve"> </w:t>
            </w:r>
          </w:p>
          <w:p w14:paraId="410B4362"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single" w:sz="12" w:space="0" w:color="000000"/>
              <w:left w:val="single" w:sz="12" w:space="0" w:color="auto"/>
              <w:bottom w:val="nil"/>
              <w:right w:val="single" w:sz="12" w:space="0" w:color="000000"/>
            </w:tcBorders>
            <w:shd w:val="clear" w:color="000000" w:fill="FFFFFF"/>
          </w:tcPr>
          <w:p w14:paraId="6824E277" w14:textId="77777777" w:rsidR="001676E4" w:rsidRPr="005952CC" w:rsidRDefault="001676E4" w:rsidP="003D66E5">
            <w:pPr>
              <w:widowControl w:val="0"/>
              <w:autoSpaceDE w:val="0"/>
              <w:autoSpaceDN w:val="0"/>
              <w:adjustRightInd w:val="0"/>
              <w:spacing w:after="0" w:line="360" w:lineRule="auto"/>
              <w:rPr>
                <w:rFonts w:cs="Arial"/>
                <w:color w:val="000000"/>
                <w:sz w:val="18"/>
                <w:szCs w:val="18"/>
              </w:rPr>
            </w:pPr>
            <w:r w:rsidRPr="005952CC">
              <w:rPr>
                <w:rFonts w:cs="Arial"/>
                <w:color w:val="000000"/>
                <w:sz w:val="18"/>
                <w:szCs w:val="18"/>
              </w:rPr>
              <w:lastRenderedPageBreak/>
              <w:t>Automaty</w:t>
            </w:r>
          </w:p>
        </w:tc>
        <w:tc>
          <w:tcPr>
            <w:tcW w:w="1134" w:type="dxa"/>
            <w:tcBorders>
              <w:top w:val="single" w:sz="12" w:space="0" w:color="000000"/>
              <w:left w:val="single" w:sz="2" w:space="0" w:color="000000"/>
              <w:bottom w:val="nil"/>
              <w:right w:val="single" w:sz="12" w:space="0" w:color="000000"/>
            </w:tcBorders>
            <w:shd w:val="clear" w:color="000000" w:fill="FFFFFF"/>
            <w:vAlign w:val="center"/>
          </w:tcPr>
          <w:p w14:paraId="6A10CAD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89,3</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2143861C"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7,2</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367CA362"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1,3</w:t>
            </w:r>
          </w:p>
        </w:tc>
        <w:tc>
          <w:tcPr>
            <w:tcW w:w="1026" w:type="dxa"/>
            <w:tcBorders>
              <w:top w:val="single" w:sz="12" w:space="0" w:color="000000"/>
              <w:left w:val="single" w:sz="2" w:space="0" w:color="000000"/>
              <w:bottom w:val="nil"/>
              <w:right w:val="single" w:sz="12" w:space="0" w:color="000000"/>
            </w:tcBorders>
            <w:shd w:val="clear" w:color="000000" w:fill="FFFFFF"/>
            <w:vAlign w:val="center"/>
          </w:tcPr>
          <w:p w14:paraId="6694BDD1"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2,1</w:t>
            </w:r>
          </w:p>
        </w:tc>
      </w:tr>
      <w:tr w:rsidR="001676E4" w:rsidRPr="005952CC" w14:paraId="04CA3AD1"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6861986C"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03214EDD" w14:textId="77777777" w:rsidR="001676E4" w:rsidRPr="005952CC" w:rsidRDefault="001676E4" w:rsidP="003D66E5">
            <w:pPr>
              <w:widowControl w:val="0"/>
              <w:autoSpaceDE w:val="0"/>
              <w:autoSpaceDN w:val="0"/>
              <w:adjustRightInd w:val="0"/>
              <w:spacing w:after="0" w:line="360" w:lineRule="auto"/>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2FDB2FC8"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89,8</w:t>
            </w:r>
          </w:p>
        </w:tc>
        <w:tc>
          <w:tcPr>
            <w:tcW w:w="1134" w:type="dxa"/>
            <w:tcBorders>
              <w:top w:val="nil"/>
              <w:left w:val="single" w:sz="2" w:space="0" w:color="000000"/>
              <w:bottom w:val="nil"/>
              <w:right w:val="single" w:sz="2" w:space="0" w:color="000000"/>
            </w:tcBorders>
            <w:shd w:val="clear" w:color="000000" w:fill="FFFFFF"/>
            <w:vAlign w:val="center"/>
          </w:tcPr>
          <w:p w14:paraId="06C4C7A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5,7</w:t>
            </w:r>
          </w:p>
        </w:tc>
        <w:tc>
          <w:tcPr>
            <w:tcW w:w="1134" w:type="dxa"/>
            <w:tcBorders>
              <w:top w:val="nil"/>
              <w:left w:val="single" w:sz="2" w:space="0" w:color="000000"/>
              <w:bottom w:val="nil"/>
              <w:right w:val="single" w:sz="2" w:space="0" w:color="000000"/>
            </w:tcBorders>
            <w:shd w:val="clear" w:color="000000" w:fill="FFFFFF"/>
            <w:vAlign w:val="center"/>
          </w:tcPr>
          <w:p w14:paraId="462D1548"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2,2</w:t>
            </w:r>
          </w:p>
        </w:tc>
        <w:tc>
          <w:tcPr>
            <w:tcW w:w="1026" w:type="dxa"/>
            <w:tcBorders>
              <w:top w:val="nil"/>
              <w:left w:val="single" w:sz="2" w:space="0" w:color="000000"/>
              <w:bottom w:val="nil"/>
              <w:right w:val="single" w:sz="12" w:space="0" w:color="000000"/>
            </w:tcBorders>
            <w:shd w:val="clear" w:color="000000" w:fill="FFFFFF"/>
            <w:vAlign w:val="center"/>
          </w:tcPr>
          <w:p w14:paraId="4A965867"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2,4</w:t>
            </w:r>
          </w:p>
        </w:tc>
      </w:tr>
      <w:tr w:rsidR="001676E4" w:rsidRPr="005952CC" w14:paraId="2466CE6F"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5D3F1DC5"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5965F119" w14:textId="77777777" w:rsidR="001676E4" w:rsidRPr="005952CC" w:rsidRDefault="001676E4" w:rsidP="003D66E5">
            <w:pPr>
              <w:widowControl w:val="0"/>
              <w:tabs>
                <w:tab w:val="left" w:pos="2517"/>
              </w:tabs>
              <w:autoSpaceDE w:val="0"/>
              <w:autoSpaceDN w:val="0"/>
              <w:adjustRightInd w:val="0"/>
              <w:spacing w:after="0" w:line="360" w:lineRule="auto"/>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36DF2074"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88,2</w:t>
            </w:r>
          </w:p>
        </w:tc>
        <w:tc>
          <w:tcPr>
            <w:tcW w:w="1134" w:type="dxa"/>
            <w:tcBorders>
              <w:top w:val="nil"/>
              <w:left w:val="single" w:sz="2" w:space="0" w:color="000000"/>
              <w:bottom w:val="nil"/>
              <w:right w:val="single" w:sz="2" w:space="0" w:color="000000"/>
            </w:tcBorders>
            <w:shd w:val="clear" w:color="000000" w:fill="FFFFFF"/>
            <w:vAlign w:val="center"/>
          </w:tcPr>
          <w:p w14:paraId="28ECC9D9"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7,9</w:t>
            </w:r>
          </w:p>
        </w:tc>
        <w:tc>
          <w:tcPr>
            <w:tcW w:w="1134" w:type="dxa"/>
            <w:tcBorders>
              <w:top w:val="nil"/>
              <w:left w:val="single" w:sz="2" w:space="0" w:color="000000"/>
              <w:bottom w:val="nil"/>
              <w:right w:val="single" w:sz="2" w:space="0" w:color="000000"/>
            </w:tcBorders>
            <w:shd w:val="clear" w:color="000000" w:fill="FFFFFF"/>
            <w:vAlign w:val="center"/>
          </w:tcPr>
          <w:p w14:paraId="1F085D28"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2,0</w:t>
            </w:r>
          </w:p>
        </w:tc>
        <w:tc>
          <w:tcPr>
            <w:tcW w:w="1026" w:type="dxa"/>
            <w:tcBorders>
              <w:top w:val="nil"/>
              <w:left w:val="single" w:sz="2" w:space="0" w:color="000000"/>
              <w:bottom w:val="nil"/>
              <w:right w:val="single" w:sz="12" w:space="0" w:color="000000"/>
            </w:tcBorders>
            <w:shd w:val="clear" w:color="000000" w:fill="FFFFFF"/>
            <w:vAlign w:val="center"/>
          </w:tcPr>
          <w:p w14:paraId="1EEA7A69"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1,9</w:t>
            </w:r>
          </w:p>
        </w:tc>
      </w:tr>
      <w:tr w:rsidR="001676E4" w:rsidRPr="005952CC" w14:paraId="154F207B" w14:textId="77777777" w:rsidTr="003D66E5">
        <w:trPr>
          <w:cantSplit/>
          <w:trHeight w:val="530"/>
        </w:trPr>
        <w:tc>
          <w:tcPr>
            <w:tcW w:w="1800" w:type="dxa"/>
            <w:vMerge/>
            <w:tcBorders>
              <w:left w:val="single" w:sz="12" w:space="0" w:color="000000"/>
              <w:right w:val="single" w:sz="12" w:space="0" w:color="auto"/>
            </w:tcBorders>
            <w:shd w:val="clear" w:color="000000" w:fill="FFFFFF"/>
          </w:tcPr>
          <w:p w14:paraId="170A4C52"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right w:val="single" w:sz="12" w:space="0" w:color="000000"/>
            </w:tcBorders>
            <w:shd w:val="clear" w:color="000000" w:fill="FFFFFF"/>
          </w:tcPr>
          <w:p w14:paraId="011EB105" w14:textId="77777777" w:rsidR="001676E4" w:rsidRPr="005952CC" w:rsidRDefault="001676E4" w:rsidP="003D66E5">
            <w:pPr>
              <w:widowControl w:val="0"/>
              <w:autoSpaceDE w:val="0"/>
              <w:autoSpaceDN w:val="0"/>
              <w:adjustRightInd w:val="0"/>
              <w:spacing w:after="0" w:line="360" w:lineRule="auto"/>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right w:val="single" w:sz="12" w:space="0" w:color="000000"/>
            </w:tcBorders>
            <w:shd w:val="clear" w:color="000000" w:fill="FFFFFF"/>
            <w:vAlign w:val="center"/>
          </w:tcPr>
          <w:p w14:paraId="1179CE62"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87,0</w:t>
            </w:r>
          </w:p>
        </w:tc>
        <w:tc>
          <w:tcPr>
            <w:tcW w:w="1134" w:type="dxa"/>
            <w:tcBorders>
              <w:top w:val="nil"/>
              <w:left w:val="single" w:sz="2" w:space="0" w:color="000000"/>
              <w:right w:val="single" w:sz="2" w:space="0" w:color="000000"/>
            </w:tcBorders>
            <w:shd w:val="clear" w:color="000000" w:fill="FFFFFF"/>
            <w:vAlign w:val="center"/>
          </w:tcPr>
          <w:p w14:paraId="08EF369C"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6,3</w:t>
            </w:r>
          </w:p>
        </w:tc>
        <w:tc>
          <w:tcPr>
            <w:tcW w:w="1134" w:type="dxa"/>
            <w:tcBorders>
              <w:top w:val="nil"/>
              <w:left w:val="single" w:sz="2" w:space="0" w:color="000000"/>
              <w:right w:val="single" w:sz="2" w:space="0" w:color="000000"/>
            </w:tcBorders>
            <w:shd w:val="clear" w:color="000000" w:fill="FFFFFF"/>
            <w:vAlign w:val="center"/>
          </w:tcPr>
          <w:p w14:paraId="5C0EB5B5"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2,8</w:t>
            </w:r>
          </w:p>
        </w:tc>
        <w:tc>
          <w:tcPr>
            <w:tcW w:w="1026" w:type="dxa"/>
            <w:tcBorders>
              <w:top w:val="nil"/>
              <w:left w:val="single" w:sz="2" w:space="0" w:color="000000"/>
              <w:right w:val="single" w:sz="12" w:space="0" w:color="000000"/>
            </w:tcBorders>
            <w:shd w:val="clear" w:color="000000" w:fill="FFFFFF"/>
            <w:vAlign w:val="center"/>
          </w:tcPr>
          <w:p w14:paraId="3B5DB756"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4,0</w:t>
            </w:r>
          </w:p>
        </w:tc>
      </w:tr>
      <w:tr w:rsidR="001676E4" w:rsidRPr="005952CC" w14:paraId="3C2CFF51" w14:textId="77777777" w:rsidTr="003D66E5">
        <w:trPr>
          <w:cantSplit/>
          <w:trHeight w:val="544"/>
        </w:trPr>
        <w:tc>
          <w:tcPr>
            <w:tcW w:w="1800" w:type="dxa"/>
            <w:vMerge w:val="restart"/>
            <w:tcBorders>
              <w:top w:val="single" w:sz="4" w:space="0" w:color="000000"/>
              <w:left w:val="single" w:sz="12" w:space="0" w:color="000000"/>
              <w:right w:val="single" w:sz="12" w:space="0" w:color="auto"/>
            </w:tcBorders>
            <w:shd w:val="clear" w:color="000000" w:fill="FFFFFF"/>
          </w:tcPr>
          <w:p w14:paraId="179DD80B" w14:textId="77777777" w:rsidR="001676E4" w:rsidRPr="005952CC" w:rsidRDefault="001676E4" w:rsidP="003D66E5">
            <w:pPr>
              <w:widowControl w:val="0"/>
              <w:autoSpaceDE w:val="0"/>
              <w:autoSpaceDN w:val="0"/>
              <w:adjustRightInd w:val="0"/>
              <w:spacing w:after="0"/>
              <w:rPr>
                <w:rFonts w:cs="Arial"/>
                <w:color w:val="000000"/>
                <w:sz w:val="18"/>
                <w:szCs w:val="18"/>
              </w:rPr>
            </w:pPr>
            <w:r w:rsidRPr="005952CC">
              <w:rPr>
                <w:rFonts w:cs="Arial"/>
                <w:color w:val="000000"/>
                <w:sz w:val="18"/>
                <w:szCs w:val="18"/>
              </w:rPr>
              <w:t>Starsza kohorta (17-18 lat)</w:t>
            </w:r>
          </w:p>
          <w:p w14:paraId="1D75CACE"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single" w:sz="4" w:space="0" w:color="auto"/>
              <w:left w:val="single" w:sz="12" w:space="0" w:color="auto"/>
              <w:bottom w:val="nil"/>
              <w:right w:val="single" w:sz="12" w:space="0" w:color="000000"/>
            </w:tcBorders>
            <w:shd w:val="clear" w:color="000000" w:fill="FFFFFF"/>
          </w:tcPr>
          <w:p w14:paraId="4AF20C23" w14:textId="77777777" w:rsidR="001676E4" w:rsidRPr="005952CC" w:rsidRDefault="001676E4" w:rsidP="003D66E5">
            <w:pPr>
              <w:widowControl w:val="0"/>
              <w:autoSpaceDE w:val="0"/>
              <w:autoSpaceDN w:val="0"/>
              <w:adjustRightInd w:val="0"/>
              <w:spacing w:after="0" w:line="360" w:lineRule="auto"/>
              <w:rPr>
                <w:rFonts w:cs="Arial"/>
                <w:color w:val="000000"/>
                <w:sz w:val="18"/>
                <w:szCs w:val="18"/>
              </w:rPr>
            </w:pPr>
            <w:r w:rsidRPr="005952CC">
              <w:rPr>
                <w:rFonts w:cs="Arial"/>
                <w:color w:val="000000"/>
                <w:sz w:val="18"/>
                <w:szCs w:val="18"/>
              </w:rPr>
              <w:t>Automaty</w:t>
            </w:r>
          </w:p>
        </w:tc>
        <w:tc>
          <w:tcPr>
            <w:tcW w:w="1134" w:type="dxa"/>
            <w:tcBorders>
              <w:top w:val="single" w:sz="4" w:space="0" w:color="auto"/>
              <w:left w:val="single" w:sz="2" w:space="0" w:color="000000"/>
              <w:bottom w:val="nil"/>
              <w:right w:val="single" w:sz="12" w:space="0" w:color="000000"/>
            </w:tcBorders>
            <w:shd w:val="clear" w:color="000000" w:fill="FFFFFF"/>
            <w:vAlign w:val="center"/>
          </w:tcPr>
          <w:p w14:paraId="42C8899C"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93,3</w:t>
            </w:r>
          </w:p>
        </w:tc>
        <w:tc>
          <w:tcPr>
            <w:tcW w:w="1134" w:type="dxa"/>
            <w:tcBorders>
              <w:top w:val="single" w:sz="4" w:space="0" w:color="auto"/>
              <w:left w:val="single" w:sz="2" w:space="0" w:color="000000"/>
              <w:bottom w:val="nil"/>
              <w:right w:val="single" w:sz="2" w:space="0" w:color="000000"/>
            </w:tcBorders>
            <w:shd w:val="clear" w:color="000000" w:fill="FFFFFF"/>
            <w:vAlign w:val="center"/>
          </w:tcPr>
          <w:p w14:paraId="2253F8EB"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5,2</w:t>
            </w:r>
          </w:p>
        </w:tc>
        <w:tc>
          <w:tcPr>
            <w:tcW w:w="1134" w:type="dxa"/>
            <w:tcBorders>
              <w:top w:val="single" w:sz="4" w:space="0" w:color="auto"/>
              <w:left w:val="single" w:sz="2" w:space="0" w:color="000000"/>
              <w:bottom w:val="nil"/>
              <w:right w:val="single" w:sz="2" w:space="0" w:color="000000"/>
            </w:tcBorders>
            <w:shd w:val="clear" w:color="000000" w:fill="FFFFFF"/>
            <w:vAlign w:val="center"/>
          </w:tcPr>
          <w:p w14:paraId="0A8121A5"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,6</w:t>
            </w:r>
          </w:p>
        </w:tc>
        <w:tc>
          <w:tcPr>
            <w:tcW w:w="1026" w:type="dxa"/>
            <w:tcBorders>
              <w:top w:val="single" w:sz="4" w:space="0" w:color="auto"/>
              <w:left w:val="single" w:sz="2" w:space="0" w:color="000000"/>
              <w:bottom w:val="nil"/>
              <w:right w:val="single" w:sz="12" w:space="0" w:color="000000"/>
            </w:tcBorders>
            <w:shd w:val="clear" w:color="000000" w:fill="FFFFFF"/>
            <w:vAlign w:val="center"/>
          </w:tcPr>
          <w:p w14:paraId="16F47B5B"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w:t>
            </w:r>
          </w:p>
        </w:tc>
      </w:tr>
      <w:tr w:rsidR="001676E4" w:rsidRPr="005952CC" w14:paraId="0DC1D808"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254B952D"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5FA6B583" w14:textId="77777777" w:rsidR="001676E4" w:rsidRPr="005952CC" w:rsidRDefault="001676E4" w:rsidP="003D66E5">
            <w:pPr>
              <w:widowControl w:val="0"/>
              <w:autoSpaceDE w:val="0"/>
              <w:autoSpaceDN w:val="0"/>
              <w:adjustRightInd w:val="0"/>
              <w:spacing w:after="0" w:line="360" w:lineRule="auto"/>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198E5E73"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92,1</w:t>
            </w:r>
          </w:p>
        </w:tc>
        <w:tc>
          <w:tcPr>
            <w:tcW w:w="1134" w:type="dxa"/>
            <w:tcBorders>
              <w:top w:val="nil"/>
              <w:left w:val="single" w:sz="2" w:space="0" w:color="000000"/>
              <w:bottom w:val="nil"/>
              <w:right w:val="single" w:sz="2" w:space="0" w:color="000000"/>
            </w:tcBorders>
            <w:shd w:val="clear" w:color="000000" w:fill="FFFFFF"/>
            <w:vAlign w:val="center"/>
          </w:tcPr>
          <w:p w14:paraId="05CA1EEC"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5,0</w:t>
            </w:r>
          </w:p>
        </w:tc>
        <w:tc>
          <w:tcPr>
            <w:tcW w:w="1134" w:type="dxa"/>
            <w:tcBorders>
              <w:top w:val="nil"/>
              <w:left w:val="single" w:sz="2" w:space="0" w:color="000000"/>
              <w:bottom w:val="nil"/>
              <w:right w:val="single" w:sz="2" w:space="0" w:color="000000"/>
            </w:tcBorders>
            <w:shd w:val="clear" w:color="000000" w:fill="FFFFFF"/>
            <w:vAlign w:val="center"/>
          </w:tcPr>
          <w:p w14:paraId="3610FF9A"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1,8</w:t>
            </w:r>
          </w:p>
        </w:tc>
        <w:tc>
          <w:tcPr>
            <w:tcW w:w="1026" w:type="dxa"/>
            <w:tcBorders>
              <w:top w:val="nil"/>
              <w:left w:val="single" w:sz="2" w:space="0" w:color="000000"/>
              <w:bottom w:val="nil"/>
              <w:right w:val="single" w:sz="12" w:space="0" w:color="000000"/>
            </w:tcBorders>
            <w:shd w:val="clear" w:color="000000" w:fill="FFFFFF"/>
            <w:vAlign w:val="center"/>
          </w:tcPr>
          <w:p w14:paraId="452A95CE"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1,1</w:t>
            </w:r>
          </w:p>
        </w:tc>
      </w:tr>
      <w:tr w:rsidR="001676E4" w:rsidRPr="005952CC" w14:paraId="652A8F49"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6089565D"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nil"/>
              <w:right w:val="single" w:sz="12" w:space="0" w:color="000000"/>
            </w:tcBorders>
            <w:shd w:val="clear" w:color="000000" w:fill="FFFFFF"/>
          </w:tcPr>
          <w:p w14:paraId="0FC3151D" w14:textId="77777777" w:rsidR="001676E4" w:rsidRPr="005952CC" w:rsidRDefault="001676E4" w:rsidP="003D66E5">
            <w:pPr>
              <w:widowControl w:val="0"/>
              <w:tabs>
                <w:tab w:val="left" w:pos="2517"/>
              </w:tabs>
              <w:autoSpaceDE w:val="0"/>
              <w:autoSpaceDN w:val="0"/>
              <w:adjustRightInd w:val="0"/>
              <w:spacing w:after="0" w:line="360" w:lineRule="auto"/>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4A0DBF85"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90,0</w:t>
            </w:r>
          </w:p>
        </w:tc>
        <w:tc>
          <w:tcPr>
            <w:tcW w:w="1134" w:type="dxa"/>
            <w:tcBorders>
              <w:top w:val="nil"/>
              <w:left w:val="single" w:sz="2" w:space="0" w:color="000000"/>
              <w:bottom w:val="nil"/>
              <w:right w:val="single" w:sz="2" w:space="0" w:color="000000"/>
            </w:tcBorders>
            <w:shd w:val="clear" w:color="000000" w:fill="FFFFFF"/>
            <w:vAlign w:val="center"/>
          </w:tcPr>
          <w:p w14:paraId="0C791DD2"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7,1</w:t>
            </w:r>
          </w:p>
        </w:tc>
        <w:tc>
          <w:tcPr>
            <w:tcW w:w="1134" w:type="dxa"/>
            <w:tcBorders>
              <w:top w:val="nil"/>
              <w:left w:val="single" w:sz="2" w:space="0" w:color="000000"/>
              <w:bottom w:val="nil"/>
              <w:right w:val="single" w:sz="2" w:space="0" w:color="000000"/>
            </w:tcBorders>
            <w:shd w:val="clear" w:color="000000" w:fill="FFFFFF"/>
            <w:vAlign w:val="center"/>
          </w:tcPr>
          <w:p w14:paraId="1D79C63A"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1,9</w:t>
            </w:r>
          </w:p>
        </w:tc>
        <w:tc>
          <w:tcPr>
            <w:tcW w:w="1026" w:type="dxa"/>
            <w:tcBorders>
              <w:top w:val="nil"/>
              <w:left w:val="single" w:sz="2" w:space="0" w:color="000000"/>
              <w:bottom w:val="nil"/>
              <w:right w:val="single" w:sz="12" w:space="0" w:color="000000"/>
            </w:tcBorders>
            <w:shd w:val="clear" w:color="000000" w:fill="FFFFFF"/>
            <w:vAlign w:val="center"/>
          </w:tcPr>
          <w:p w14:paraId="63B656BD"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1,0</w:t>
            </w:r>
          </w:p>
        </w:tc>
      </w:tr>
      <w:tr w:rsidR="001676E4" w:rsidRPr="005952CC" w14:paraId="74591326" w14:textId="77777777" w:rsidTr="003D66E5">
        <w:trPr>
          <w:cantSplit/>
          <w:trHeight w:val="492"/>
        </w:trPr>
        <w:tc>
          <w:tcPr>
            <w:tcW w:w="1800" w:type="dxa"/>
            <w:vMerge/>
            <w:tcBorders>
              <w:left w:val="single" w:sz="12" w:space="0" w:color="000000"/>
              <w:bottom w:val="single" w:sz="12" w:space="0" w:color="auto"/>
              <w:right w:val="single" w:sz="12" w:space="0" w:color="auto"/>
            </w:tcBorders>
            <w:shd w:val="clear" w:color="000000" w:fill="FFFFFF"/>
          </w:tcPr>
          <w:p w14:paraId="2CC7E2AD" w14:textId="77777777" w:rsidR="001676E4" w:rsidRPr="005952CC" w:rsidRDefault="001676E4" w:rsidP="003D66E5">
            <w:pPr>
              <w:widowControl w:val="0"/>
              <w:autoSpaceDE w:val="0"/>
              <w:autoSpaceDN w:val="0"/>
              <w:adjustRightInd w:val="0"/>
              <w:spacing w:after="0"/>
              <w:rPr>
                <w:rFonts w:cs="Arial"/>
                <w:color w:val="000000"/>
                <w:sz w:val="18"/>
                <w:szCs w:val="18"/>
              </w:rPr>
            </w:pPr>
          </w:p>
        </w:tc>
        <w:tc>
          <w:tcPr>
            <w:tcW w:w="3162" w:type="dxa"/>
            <w:tcBorders>
              <w:top w:val="nil"/>
              <w:left w:val="single" w:sz="12" w:space="0" w:color="auto"/>
              <w:bottom w:val="single" w:sz="12" w:space="0" w:color="auto"/>
              <w:right w:val="single" w:sz="12" w:space="0" w:color="000000"/>
            </w:tcBorders>
            <w:shd w:val="clear" w:color="000000" w:fill="FFFFFF"/>
          </w:tcPr>
          <w:p w14:paraId="0B4FC3B1" w14:textId="77777777" w:rsidR="001676E4" w:rsidRPr="005952CC" w:rsidRDefault="001676E4" w:rsidP="003D66E5">
            <w:pPr>
              <w:widowControl w:val="0"/>
              <w:autoSpaceDE w:val="0"/>
              <w:autoSpaceDN w:val="0"/>
              <w:adjustRightInd w:val="0"/>
              <w:spacing w:after="0" w:line="360" w:lineRule="auto"/>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bottom w:val="single" w:sz="12" w:space="0" w:color="auto"/>
              <w:right w:val="single" w:sz="12" w:space="0" w:color="000000"/>
            </w:tcBorders>
            <w:shd w:val="clear" w:color="000000" w:fill="FFFFFF"/>
            <w:vAlign w:val="center"/>
          </w:tcPr>
          <w:p w14:paraId="0E1323A9"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87,4</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0F4BD361"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5,5</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6AF8E091"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3,4</w:t>
            </w:r>
          </w:p>
        </w:tc>
        <w:tc>
          <w:tcPr>
            <w:tcW w:w="1026" w:type="dxa"/>
            <w:tcBorders>
              <w:top w:val="nil"/>
              <w:left w:val="single" w:sz="2" w:space="0" w:color="000000"/>
              <w:bottom w:val="single" w:sz="12" w:space="0" w:color="auto"/>
              <w:right w:val="single" w:sz="12" w:space="0" w:color="000000"/>
            </w:tcBorders>
            <w:shd w:val="clear" w:color="000000" w:fill="FFFFFF"/>
            <w:vAlign w:val="center"/>
          </w:tcPr>
          <w:p w14:paraId="68CBFA95" w14:textId="77777777" w:rsidR="001676E4" w:rsidRPr="005952CC" w:rsidRDefault="001676E4" w:rsidP="003D66E5">
            <w:pPr>
              <w:spacing w:after="0"/>
              <w:jc w:val="right"/>
              <w:rPr>
                <w:rFonts w:cs="Arial"/>
                <w:color w:val="000000"/>
                <w:sz w:val="18"/>
                <w:szCs w:val="18"/>
              </w:rPr>
            </w:pPr>
            <w:r w:rsidRPr="005952CC">
              <w:rPr>
                <w:rFonts w:cs="Arial"/>
                <w:color w:val="000000"/>
                <w:sz w:val="18"/>
                <w:szCs w:val="18"/>
              </w:rPr>
              <w:t>3,7</w:t>
            </w:r>
          </w:p>
        </w:tc>
      </w:tr>
    </w:tbl>
    <w:p w14:paraId="1F8DC3EE"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7D2182C0" w14:textId="3B698B79" w:rsidR="001676E4" w:rsidRPr="00317DE2" w:rsidRDefault="001676E4" w:rsidP="001676E4">
      <w:pPr>
        <w:pStyle w:val="Tekstpodstawowy"/>
        <w:spacing w:after="0" w:line="360" w:lineRule="auto"/>
        <w:ind w:firstLine="567"/>
        <w:jc w:val="both"/>
        <w:rPr>
          <w:rFonts w:ascii="Arial" w:hAnsi="Arial" w:cs="Arial"/>
          <w:bCs/>
          <w:color w:val="000000"/>
          <w:sz w:val="22"/>
          <w:szCs w:val="22"/>
        </w:rPr>
      </w:pPr>
      <w:r w:rsidRPr="00317DE2">
        <w:rPr>
          <w:rFonts w:ascii="Arial" w:hAnsi="Arial" w:cs="Arial"/>
          <w:bCs/>
          <w:color w:val="000000"/>
          <w:sz w:val="22"/>
          <w:szCs w:val="22"/>
        </w:rPr>
        <w:t xml:space="preserve">Nieznacznie większą popularnością cieszy się hazard uprawiany przez </w:t>
      </w:r>
      <w:proofErr w:type="spellStart"/>
      <w:r w:rsidRPr="00317DE2">
        <w:rPr>
          <w:rFonts w:ascii="Arial" w:hAnsi="Arial" w:cs="Arial"/>
          <w:bCs/>
          <w:color w:val="000000"/>
          <w:sz w:val="22"/>
          <w:szCs w:val="22"/>
        </w:rPr>
        <w:t>internet</w:t>
      </w:r>
      <w:proofErr w:type="spellEnd"/>
      <w:r w:rsidRPr="00317DE2">
        <w:rPr>
          <w:rFonts w:ascii="Arial" w:hAnsi="Arial" w:cs="Arial"/>
          <w:bCs/>
          <w:color w:val="000000"/>
          <w:sz w:val="22"/>
          <w:szCs w:val="22"/>
        </w:rPr>
        <w:t xml:space="preserve">. Jeśli chodzi o popularność poszczególnych gier uprawianych w tej formie, to zarówno w młodszej jak i starszej kohorcie najbardziej popularne jest obstawianie zakładów sportowych (odpowiednio 14,9% i 19,3%). Trochę mniej popularne jest granie na automatach (odpowiednio 10,8% i 9,4%). </w:t>
      </w:r>
    </w:p>
    <w:p w14:paraId="09A1EF19" w14:textId="2F624D9F" w:rsidR="001676E4" w:rsidRPr="00A43860" w:rsidRDefault="001676E4" w:rsidP="001676E4">
      <w:pPr>
        <w:pStyle w:val="Legenda"/>
        <w:keepNext/>
        <w:spacing w:before="240" w:after="240"/>
        <w:rPr>
          <w:sz w:val="20"/>
          <w:szCs w:val="16"/>
        </w:rPr>
      </w:pPr>
      <w:bookmarkStart w:id="108" w:name="_Toc214279712"/>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27</w:t>
      </w:r>
      <w:r w:rsidRPr="00A43860">
        <w:rPr>
          <w:sz w:val="20"/>
          <w:szCs w:val="16"/>
        </w:rPr>
        <w:fldChar w:fldCharType="end"/>
      </w:r>
      <w:r w:rsidRPr="00A43860">
        <w:rPr>
          <w:sz w:val="20"/>
          <w:szCs w:val="16"/>
        </w:rPr>
        <w:t xml:space="preserve">. Częstotliwość grania w poszczególne gry hazardowe w czasie ostatnich 12 miesięcy przed badaniem przez </w:t>
      </w:r>
      <w:proofErr w:type="spellStart"/>
      <w:r w:rsidRPr="00A43860">
        <w:rPr>
          <w:sz w:val="20"/>
          <w:szCs w:val="16"/>
        </w:rPr>
        <w:t>internet</w:t>
      </w:r>
      <w:proofErr w:type="spellEnd"/>
      <w:r w:rsidRPr="00A43860">
        <w:rPr>
          <w:sz w:val="20"/>
          <w:szCs w:val="16"/>
        </w:rPr>
        <w:t xml:space="preserve"> (województwo lubelskie).</w:t>
      </w:r>
      <w:bookmarkEnd w:id="108"/>
    </w:p>
    <w:tbl>
      <w:tblPr>
        <w:tblW w:w="9214" w:type="dxa"/>
        <w:tblInd w:w="93" w:type="dxa"/>
        <w:tblLayout w:type="fixed"/>
        <w:tblCellMar>
          <w:left w:w="93" w:type="dxa"/>
          <w:right w:w="93" w:type="dxa"/>
        </w:tblCellMar>
        <w:tblLook w:val="0000" w:firstRow="0" w:lastRow="0" w:firstColumn="0" w:lastColumn="0" w:noHBand="0" w:noVBand="0"/>
      </w:tblPr>
      <w:tblGrid>
        <w:gridCol w:w="1800"/>
        <w:gridCol w:w="2595"/>
        <w:gridCol w:w="1134"/>
        <w:gridCol w:w="1417"/>
        <w:gridCol w:w="1134"/>
        <w:gridCol w:w="1134"/>
      </w:tblGrid>
      <w:tr w:rsidR="001676E4" w:rsidRPr="0092722E" w14:paraId="2D98FD09" w14:textId="77777777" w:rsidTr="003D66E5">
        <w:trPr>
          <w:trHeight w:val="512"/>
        </w:trPr>
        <w:tc>
          <w:tcPr>
            <w:tcW w:w="1800" w:type="dxa"/>
            <w:tcBorders>
              <w:top w:val="single" w:sz="12" w:space="0" w:color="000000"/>
              <w:left w:val="single" w:sz="12" w:space="0" w:color="000000"/>
              <w:bottom w:val="single" w:sz="12" w:space="0" w:color="000000"/>
              <w:right w:val="single" w:sz="12" w:space="0" w:color="auto"/>
            </w:tcBorders>
            <w:shd w:val="clear" w:color="000000" w:fill="FFFFFF"/>
            <w:vAlign w:val="center"/>
          </w:tcPr>
          <w:p w14:paraId="245E4290"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Kohorta</w:t>
            </w:r>
          </w:p>
        </w:tc>
        <w:tc>
          <w:tcPr>
            <w:tcW w:w="2595" w:type="dxa"/>
            <w:tcBorders>
              <w:top w:val="single" w:sz="12" w:space="0" w:color="000000"/>
              <w:left w:val="single" w:sz="12" w:space="0" w:color="auto"/>
              <w:bottom w:val="single" w:sz="12" w:space="0" w:color="000000"/>
              <w:right w:val="single" w:sz="12" w:space="0" w:color="000000"/>
            </w:tcBorders>
            <w:shd w:val="clear" w:color="000000" w:fill="FFFFFF"/>
            <w:vAlign w:val="center"/>
          </w:tcPr>
          <w:p w14:paraId="4F2C55CB"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p>
        </w:tc>
        <w:tc>
          <w:tcPr>
            <w:tcW w:w="1134"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72E43186"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W ogóle nie</w:t>
            </w:r>
          </w:p>
        </w:tc>
        <w:tc>
          <w:tcPr>
            <w:tcW w:w="1417"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374CC749"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Raz na miesiąc lub rzadziej</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1785FAB0"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2-4 razy w miesiącu</w:t>
            </w:r>
          </w:p>
        </w:tc>
        <w:tc>
          <w:tcPr>
            <w:tcW w:w="1134"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09EEEA23"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2-3 razy w tygodniu</w:t>
            </w:r>
          </w:p>
        </w:tc>
      </w:tr>
      <w:tr w:rsidR="001676E4" w:rsidRPr="005952CC" w14:paraId="55ECFCA8" w14:textId="77777777" w:rsidTr="003D66E5">
        <w:trPr>
          <w:cantSplit/>
          <w:trHeight w:val="544"/>
        </w:trPr>
        <w:tc>
          <w:tcPr>
            <w:tcW w:w="1800" w:type="dxa"/>
            <w:vMerge w:val="restart"/>
            <w:tcBorders>
              <w:top w:val="single" w:sz="12" w:space="0" w:color="000000"/>
              <w:left w:val="single" w:sz="12" w:space="0" w:color="000000"/>
              <w:right w:val="single" w:sz="12" w:space="0" w:color="auto"/>
            </w:tcBorders>
            <w:shd w:val="clear" w:color="000000" w:fill="FFFFFF"/>
          </w:tcPr>
          <w:p w14:paraId="612FFE36"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Młodsza kohorta (15-16 lat)</w:t>
            </w:r>
          </w:p>
          <w:p w14:paraId="09384373"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 xml:space="preserve"> </w:t>
            </w:r>
          </w:p>
          <w:p w14:paraId="4E80407C"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 xml:space="preserve"> </w:t>
            </w:r>
          </w:p>
          <w:p w14:paraId="2936A73F"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single" w:sz="12" w:space="0" w:color="000000"/>
              <w:left w:val="single" w:sz="12" w:space="0" w:color="auto"/>
              <w:bottom w:val="nil"/>
              <w:right w:val="single" w:sz="12" w:space="0" w:color="000000"/>
            </w:tcBorders>
            <w:shd w:val="clear" w:color="000000" w:fill="FFFFFF"/>
          </w:tcPr>
          <w:p w14:paraId="30BAD954"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Automaty</w:t>
            </w:r>
          </w:p>
        </w:tc>
        <w:tc>
          <w:tcPr>
            <w:tcW w:w="1134" w:type="dxa"/>
            <w:tcBorders>
              <w:top w:val="single" w:sz="12" w:space="0" w:color="000000"/>
              <w:left w:val="single" w:sz="2" w:space="0" w:color="000000"/>
              <w:bottom w:val="nil"/>
              <w:right w:val="single" w:sz="12" w:space="0" w:color="000000"/>
            </w:tcBorders>
            <w:shd w:val="clear" w:color="000000" w:fill="FFFFFF"/>
            <w:vAlign w:val="center"/>
          </w:tcPr>
          <w:p w14:paraId="0B30434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89,2</w:t>
            </w:r>
          </w:p>
        </w:tc>
        <w:tc>
          <w:tcPr>
            <w:tcW w:w="1417" w:type="dxa"/>
            <w:tcBorders>
              <w:top w:val="single" w:sz="12" w:space="0" w:color="000000"/>
              <w:left w:val="single" w:sz="2" w:space="0" w:color="000000"/>
              <w:bottom w:val="nil"/>
              <w:right w:val="single" w:sz="2" w:space="0" w:color="000000"/>
            </w:tcBorders>
            <w:shd w:val="clear" w:color="000000" w:fill="FFFFFF"/>
            <w:vAlign w:val="center"/>
          </w:tcPr>
          <w:p w14:paraId="5591095A"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5,8</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38209B6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2,1</w:t>
            </w:r>
          </w:p>
        </w:tc>
        <w:tc>
          <w:tcPr>
            <w:tcW w:w="1134" w:type="dxa"/>
            <w:tcBorders>
              <w:top w:val="single" w:sz="12" w:space="0" w:color="000000"/>
              <w:left w:val="single" w:sz="2" w:space="0" w:color="000000"/>
              <w:bottom w:val="nil"/>
              <w:right w:val="single" w:sz="12" w:space="0" w:color="000000"/>
            </w:tcBorders>
            <w:shd w:val="clear" w:color="000000" w:fill="FFFFFF"/>
            <w:vAlign w:val="center"/>
          </w:tcPr>
          <w:p w14:paraId="55F5E8B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2,9</w:t>
            </w:r>
          </w:p>
        </w:tc>
      </w:tr>
      <w:tr w:rsidR="001676E4" w:rsidRPr="005952CC" w14:paraId="07EFDCFE"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7FA5ACDE"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nil"/>
              <w:left w:val="single" w:sz="12" w:space="0" w:color="auto"/>
              <w:bottom w:val="nil"/>
              <w:right w:val="single" w:sz="12" w:space="0" w:color="000000"/>
            </w:tcBorders>
            <w:shd w:val="clear" w:color="000000" w:fill="FFFFFF"/>
          </w:tcPr>
          <w:p w14:paraId="11E5B9D0"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3516091A"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89,9</w:t>
            </w:r>
          </w:p>
        </w:tc>
        <w:tc>
          <w:tcPr>
            <w:tcW w:w="1417" w:type="dxa"/>
            <w:tcBorders>
              <w:top w:val="nil"/>
              <w:left w:val="single" w:sz="2" w:space="0" w:color="000000"/>
              <w:bottom w:val="nil"/>
              <w:right w:val="single" w:sz="2" w:space="0" w:color="000000"/>
            </w:tcBorders>
            <w:shd w:val="clear" w:color="000000" w:fill="FFFFFF"/>
            <w:vAlign w:val="center"/>
          </w:tcPr>
          <w:p w14:paraId="2967E830"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5,2</w:t>
            </w:r>
          </w:p>
        </w:tc>
        <w:tc>
          <w:tcPr>
            <w:tcW w:w="1134" w:type="dxa"/>
            <w:tcBorders>
              <w:top w:val="nil"/>
              <w:left w:val="single" w:sz="2" w:space="0" w:color="000000"/>
              <w:bottom w:val="nil"/>
              <w:right w:val="single" w:sz="2" w:space="0" w:color="000000"/>
            </w:tcBorders>
            <w:shd w:val="clear" w:color="000000" w:fill="FFFFFF"/>
            <w:vAlign w:val="center"/>
          </w:tcPr>
          <w:p w14:paraId="124346B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2,2</w:t>
            </w:r>
          </w:p>
        </w:tc>
        <w:tc>
          <w:tcPr>
            <w:tcW w:w="1134" w:type="dxa"/>
            <w:tcBorders>
              <w:top w:val="nil"/>
              <w:left w:val="single" w:sz="2" w:space="0" w:color="000000"/>
              <w:bottom w:val="nil"/>
              <w:right w:val="single" w:sz="12" w:space="0" w:color="000000"/>
            </w:tcBorders>
            <w:shd w:val="clear" w:color="000000" w:fill="FFFFFF"/>
            <w:vAlign w:val="center"/>
          </w:tcPr>
          <w:p w14:paraId="39FBB23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2,7</w:t>
            </w:r>
          </w:p>
        </w:tc>
      </w:tr>
      <w:tr w:rsidR="001676E4" w:rsidRPr="005952CC" w14:paraId="691796E1"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17FDB1ED"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nil"/>
              <w:left w:val="single" w:sz="12" w:space="0" w:color="auto"/>
              <w:bottom w:val="nil"/>
              <w:right w:val="single" w:sz="12" w:space="0" w:color="000000"/>
            </w:tcBorders>
            <w:shd w:val="clear" w:color="000000" w:fill="FFFFFF"/>
          </w:tcPr>
          <w:p w14:paraId="7A9F86AB" w14:textId="77777777" w:rsidR="001676E4" w:rsidRPr="005952CC" w:rsidRDefault="001676E4" w:rsidP="003D66E5">
            <w:pPr>
              <w:widowControl w:val="0"/>
              <w:tabs>
                <w:tab w:val="left" w:pos="2517"/>
              </w:tabs>
              <w:autoSpaceDE w:val="0"/>
              <w:autoSpaceDN w:val="0"/>
              <w:adjustRightInd w:val="0"/>
              <w:spacing w:after="0" w:line="240" w:lineRule="auto"/>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54FE4974"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90,8</w:t>
            </w:r>
          </w:p>
        </w:tc>
        <w:tc>
          <w:tcPr>
            <w:tcW w:w="1417" w:type="dxa"/>
            <w:tcBorders>
              <w:top w:val="nil"/>
              <w:left w:val="single" w:sz="2" w:space="0" w:color="000000"/>
              <w:bottom w:val="nil"/>
              <w:right w:val="single" w:sz="2" w:space="0" w:color="000000"/>
            </w:tcBorders>
            <w:shd w:val="clear" w:color="000000" w:fill="FFFFFF"/>
            <w:vAlign w:val="center"/>
          </w:tcPr>
          <w:p w14:paraId="3A54C062"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4,8</w:t>
            </w:r>
          </w:p>
        </w:tc>
        <w:tc>
          <w:tcPr>
            <w:tcW w:w="1134" w:type="dxa"/>
            <w:tcBorders>
              <w:top w:val="nil"/>
              <w:left w:val="single" w:sz="2" w:space="0" w:color="000000"/>
              <w:bottom w:val="nil"/>
              <w:right w:val="single" w:sz="2" w:space="0" w:color="000000"/>
            </w:tcBorders>
            <w:shd w:val="clear" w:color="000000" w:fill="FFFFFF"/>
            <w:vAlign w:val="center"/>
          </w:tcPr>
          <w:p w14:paraId="60652FE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1,7</w:t>
            </w:r>
          </w:p>
        </w:tc>
        <w:tc>
          <w:tcPr>
            <w:tcW w:w="1134" w:type="dxa"/>
            <w:tcBorders>
              <w:top w:val="nil"/>
              <w:left w:val="single" w:sz="2" w:space="0" w:color="000000"/>
              <w:bottom w:val="nil"/>
              <w:right w:val="single" w:sz="12" w:space="0" w:color="000000"/>
            </w:tcBorders>
            <w:shd w:val="clear" w:color="000000" w:fill="FFFFFF"/>
            <w:vAlign w:val="center"/>
          </w:tcPr>
          <w:p w14:paraId="24EB11D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2,6</w:t>
            </w:r>
          </w:p>
        </w:tc>
      </w:tr>
      <w:tr w:rsidR="001676E4" w:rsidRPr="005952CC" w14:paraId="0501EABE" w14:textId="77777777" w:rsidTr="003D66E5">
        <w:trPr>
          <w:cantSplit/>
          <w:trHeight w:val="458"/>
        </w:trPr>
        <w:tc>
          <w:tcPr>
            <w:tcW w:w="1800" w:type="dxa"/>
            <w:vMerge/>
            <w:tcBorders>
              <w:left w:val="single" w:sz="12" w:space="0" w:color="000000"/>
              <w:right w:val="single" w:sz="12" w:space="0" w:color="auto"/>
            </w:tcBorders>
            <w:shd w:val="clear" w:color="000000" w:fill="FFFFFF"/>
          </w:tcPr>
          <w:p w14:paraId="49041DAA"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nil"/>
              <w:left w:val="single" w:sz="12" w:space="0" w:color="auto"/>
              <w:right w:val="single" w:sz="12" w:space="0" w:color="000000"/>
            </w:tcBorders>
            <w:shd w:val="clear" w:color="000000" w:fill="FFFFFF"/>
          </w:tcPr>
          <w:p w14:paraId="3DF2DA20"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right w:val="single" w:sz="12" w:space="0" w:color="000000"/>
            </w:tcBorders>
            <w:shd w:val="clear" w:color="000000" w:fill="FFFFFF"/>
            <w:vAlign w:val="center"/>
          </w:tcPr>
          <w:p w14:paraId="28A6CF8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85,1</w:t>
            </w:r>
          </w:p>
        </w:tc>
        <w:tc>
          <w:tcPr>
            <w:tcW w:w="1417" w:type="dxa"/>
            <w:tcBorders>
              <w:top w:val="nil"/>
              <w:left w:val="single" w:sz="2" w:space="0" w:color="000000"/>
              <w:right w:val="single" w:sz="2" w:space="0" w:color="000000"/>
            </w:tcBorders>
            <w:shd w:val="clear" w:color="000000" w:fill="FFFFFF"/>
            <w:vAlign w:val="center"/>
          </w:tcPr>
          <w:p w14:paraId="22740F9D"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7,9</w:t>
            </w:r>
          </w:p>
        </w:tc>
        <w:tc>
          <w:tcPr>
            <w:tcW w:w="1134" w:type="dxa"/>
            <w:tcBorders>
              <w:top w:val="nil"/>
              <w:left w:val="single" w:sz="2" w:space="0" w:color="000000"/>
              <w:right w:val="single" w:sz="2" w:space="0" w:color="000000"/>
            </w:tcBorders>
            <w:shd w:val="clear" w:color="000000" w:fill="FFFFFF"/>
            <w:vAlign w:val="center"/>
          </w:tcPr>
          <w:p w14:paraId="5987BBE5"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2,8</w:t>
            </w:r>
          </w:p>
        </w:tc>
        <w:tc>
          <w:tcPr>
            <w:tcW w:w="1134" w:type="dxa"/>
            <w:tcBorders>
              <w:top w:val="nil"/>
              <w:left w:val="single" w:sz="2" w:space="0" w:color="000000"/>
              <w:right w:val="single" w:sz="12" w:space="0" w:color="000000"/>
            </w:tcBorders>
            <w:shd w:val="clear" w:color="000000" w:fill="FFFFFF"/>
            <w:vAlign w:val="center"/>
          </w:tcPr>
          <w:p w14:paraId="4740336E"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4,1</w:t>
            </w:r>
          </w:p>
        </w:tc>
      </w:tr>
      <w:tr w:rsidR="001676E4" w:rsidRPr="005952CC" w14:paraId="5729E8A9" w14:textId="77777777" w:rsidTr="003D66E5">
        <w:trPr>
          <w:cantSplit/>
          <w:trHeight w:val="544"/>
        </w:trPr>
        <w:tc>
          <w:tcPr>
            <w:tcW w:w="1800" w:type="dxa"/>
            <w:vMerge w:val="restart"/>
            <w:tcBorders>
              <w:top w:val="single" w:sz="4" w:space="0" w:color="000000"/>
              <w:left w:val="single" w:sz="12" w:space="0" w:color="000000"/>
              <w:right w:val="single" w:sz="12" w:space="0" w:color="auto"/>
            </w:tcBorders>
            <w:shd w:val="clear" w:color="000000" w:fill="FFFFFF"/>
          </w:tcPr>
          <w:p w14:paraId="35971E17"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Starsza kohorta (17-18 lat)</w:t>
            </w:r>
          </w:p>
          <w:p w14:paraId="016A3280"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single" w:sz="4" w:space="0" w:color="auto"/>
              <w:left w:val="single" w:sz="12" w:space="0" w:color="auto"/>
              <w:bottom w:val="nil"/>
              <w:right w:val="single" w:sz="12" w:space="0" w:color="000000"/>
            </w:tcBorders>
            <w:shd w:val="clear" w:color="000000" w:fill="FFFFFF"/>
          </w:tcPr>
          <w:p w14:paraId="621FF951"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Automaty</w:t>
            </w:r>
          </w:p>
        </w:tc>
        <w:tc>
          <w:tcPr>
            <w:tcW w:w="1134" w:type="dxa"/>
            <w:tcBorders>
              <w:top w:val="single" w:sz="4" w:space="0" w:color="auto"/>
              <w:left w:val="single" w:sz="2" w:space="0" w:color="000000"/>
              <w:bottom w:val="nil"/>
              <w:right w:val="single" w:sz="12" w:space="0" w:color="000000"/>
            </w:tcBorders>
            <w:shd w:val="clear" w:color="000000" w:fill="FFFFFF"/>
            <w:vAlign w:val="center"/>
          </w:tcPr>
          <w:p w14:paraId="7FAC87B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90,6</w:t>
            </w:r>
          </w:p>
        </w:tc>
        <w:tc>
          <w:tcPr>
            <w:tcW w:w="1417" w:type="dxa"/>
            <w:tcBorders>
              <w:top w:val="single" w:sz="4" w:space="0" w:color="auto"/>
              <w:left w:val="single" w:sz="2" w:space="0" w:color="000000"/>
              <w:bottom w:val="nil"/>
              <w:right w:val="single" w:sz="2" w:space="0" w:color="000000"/>
            </w:tcBorders>
            <w:shd w:val="clear" w:color="000000" w:fill="FFFFFF"/>
            <w:vAlign w:val="center"/>
          </w:tcPr>
          <w:p w14:paraId="18DE92DB"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5,1</w:t>
            </w:r>
          </w:p>
        </w:tc>
        <w:tc>
          <w:tcPr>
            <w:tcW w:w="1134" w:type="dxa"/>
            <w:tcBorders>
              <w:top w:val="single" w:sz="4" w:space="0" w:color="auto"/>
              <w:left w:val="single" w:sz="2" w:space="0" w:color="000000"/>
              <w:bottom w:val="nil"/>
              <w:right w:val="single" w:sz="2" w:space="0" w:color="000000"/>
            </w:tcBorders>
            <w:shd w:val="clear" w:color="000000" w:fill="FFFFFF"/>
            <w:vAlign w:val="center"/>
          </w:tcPr>
          <w:p w14:paraId="2DB49149"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1,1</w:t>
            </w:r>
          </w:p>
        </w:tc>
        <w:tc>
          <w:tcPr>
            <w:tcW w:w="1134" w:type="dxa"/>
            <w:tcBorders>
              <w:top w:val="single" w:sz="4" w:space="0" w:color="auto"/>
              <w:left w:val="single" w:sz="2" w:space="0" w:color="000000"/>
              <w:bottom w:val="nil"/>
              <w:right w:val="single" w:sz="12" w:space="0" w:color="000000"/>
            </w:tcBorders>
            <w:shd w:val="clear" w:color="000000" w:fill="FFFFFF"/>
            <w:vAlign w:val="center"/>
          </w:tcPr>
          <w:p w14:paraId="03365A1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3,2</w:t>
            </w:r>
          </w:p>
        </w:tc>
      </w:tr>
      <w:tr w:rsidR="001676E4" w:rsidRPr="005952CC" w14:paraId="27BF967C"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7DCF74DC"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nil"/>
              <w:left w:val="single" w:sz="12" w:space="0" w:color="auto"/>
              <w:bottom w:val="nil"/>
              <w:right w:val="single" w:sz="12" w:space="0" w:color="000000"/>
            </w:tcBorders>
            <w:shd w:val="clear" w:color="000000" w:fill="FFFFFF"/>
          </w:tcPr>
          <w:p w14:paraId="1AC3081F"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471B4BD4"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91,2</w:t>
            </w:r>
          </w:p>
        </w:tc>
        <w:tc>
          <w:tcPr>
            <w:tcW w:w="1417" w:type="dxa"/>
            <w:tcBorders>
              <w:top w:val="nil"/>
              <w:left w:val="single" w:sz="2" w:space="0" w:color="000000"/>
              <w:bottom w:val="nil"/>
              <w:right w:val="single" w:sz="2" w:space="0" w:color="000000"/>
            </w:tcBorders>
            <w:shd w:val="clear" w:color="000000" w:fill="FFFFFF"/>
            <w:vAlign w:val="center"/>
          </w:tcPr>
          <w:p w14:paraId="7D38D130"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4,2</w:t>
            </w:r>
          </w:p>
        </w:tc>
        <w:tc>
          <w:tcPr>
            <w:tcW w:w="1134" w:type="dxa"/>
            <w:tcBorders>
              <w:top w:val="nil"/>
              <w:left w:val="single" w:sz="2" w:space="0" w:color="000000"/>
              <w:bottom w:val="nil"/>
              <w:right w:val="single" w:sz="2" w:space="0" w:color="000000"/>
            </w:tcBorders>
            <w:shd w:val="clear" w:color="000000" w:fill="FFFFFF"/>
            <w:vAlign w:val="center"/>
          </w:tcPr>
          <w:p w14:paraId="07BE2217"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2,1</w:t>
            </w:r>
          </w:p>
        </w:tc>
        <w:tc>
          <w:tcPr>
            <w:tcW w:w="1134" w:type="dxa"/>
            <w:tcBorders>
              <w:top w:val="nil"/>
              <w:left w:val="single" w:sz="2" w:space="0" w:color="000000"/>
              <w:bottom w:val="nil"/>
              <w:right w:val="single" w:sz="12" w:space="0" w:color="000000"/>
            </w:tcBorders>
            <w:shd w:val="clear" w:color="000000" w:fill="FFFFFF"/>
            <w:vAlign w:val="center"/>
          </w:tcPr>
          <w:p w14:paraId="242E856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2,5</w:t>
            </w:r>
          </w:p>
        </w:tc>
      </w:tr>
      <w:tr w:rsidR="001676E4" w:rsidRPr="005952CC" w14:paraId="3F4DFD29"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7BFCC805"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nil"/>
              <w:left w:val="single" w:sz="12" w:space="0" w:color="auto"/>
              <w:bottom w:val="nil"/>
              <w:right w:val="single" w:sz="12" w:space="0" w:color="000000"/>
            </w:tcBorders>
            <w:shd w:val="clear" w:color="000000" w:fill="FFFFFF"/>
          </w:tcPr>
          <w:p w14:paraId="2B9251C4" w14:textId="77777777" w:rsidR="001676E4" w:rsidRPr="005952CC" w:rsidRDefault="001676E4" w:rsidP="003D66E5">
            <w:pPr>
              <w:widowControl w:val="0"/>
              <w:tabs>
                <w:tab w:val="left" w:pos="2517"/>
              </w:tabs>
              <w:autoSpaceDE w:val="0"/>
              <w:autoSpaceDN w:val="0"/>
              <w:adjustRightInd w:val="0"/>
              <w:spacing w:after="0" w:line="240" w:lineRule="auto"/>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2757A00D"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91,1</w:t>
            </w:r>
          </w:p>
        </w:tc>
        <w:tc>
          <w:tcPr>
            <w:tcW w:w="1417" w:type="dxa"/>
            <w:tcBorders>
              <w:top w:val="nil"/>
              <w:left w:val="single" w:sz="2" w:space="0" w:color="000000"/>
              <w:bottom w:val="nil"/>
              <w:right w:val="single" w:sz="2" w:space="0" w:color="000000"/>
            </w:tcBorders>
            <w:shd w:val="clear" w:color="000000" w:fill="FFFFFF"/>
            <w:vAlign w:val="center"/>
          </w:tcPr>
          <w:p w14:paraId="67A3D00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5,2</w:t>
            </w:r>
          </w:p>
        </w:tc>
        <w:tc>
          <w:tcPr>
            <w:tcW w:w="1134" w:type="dxa"/>
            <w:tcBorders>
              <w:top w:val="nil"/>
              <w:left w:val="single" w:sz="2" w:space="0" w:color="000000"/>
              <w:bottom w:val="nil"/>
              <w:right w:val="single" w:sz="2" w:space="0" w:color="000000"/>
            </w:tcBorders>
            <w:shd w:val="clear" w:color="000000" w:fill="FFFFFF"/>
            <w:vAlign w:val="center"/>
          </w:tcPr>
          <w:p w14:paraId="126FF34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1,4</w:t>
            </w:r>
          </w:p>
        </w:tc>
        <w:tc>
          <w:tcPr>
            <w:tcW w:w="1134" w:type="dxa"/>
            <w:tcBorders>
              <w:top w:val="nil"/>
              <w:left w:val="single" w:sz="2" w:space="0" w:color="000000"/>
              <w:bottom w:val="nil"/>
              <w:right w:val="single" w:sz="12" w:space="0" w:color="000000"/>
            </w:tcBorders>
            <w:shd w:val="clear" w:color="000000" w:fill="FFFFFF"/>
            <w:vAlign w:val="center"/>
          </w:tcPr>
          <w:p w14:paraId="6BD40197"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2,3</w:t>
            </w:r>
          </w:p>
        </w:tc>
      </w:tr>
      <w:tr w:rsidR="001676E4" w:rsidRPr="005952CC" w14:paraId="01954AB8" w14:textId="77777777" w:rsidTr="003D66E5">
        <w:trPr>
          <w:cantSplit/>
          <w:trHeight w:val="492"/>
        </w:trPr>
        <w:tc>
          <w:tcPr>
            <w:tcW w:w="1800" w:type="dxa"/>
            <w:vMerge/>
            <w:tcBorders>
              <w:left w:val="single" w:sz="12" w:space="0" w:color="000000"/>
              <w:bottom w:val="single" w:sz="12" w:space="0" w:color="auto"/>
              <w:right w:val="single" w:sz="12" w:space="0" w:color="auto"/>
            </w:tcBorders>
            <w:shd w:val="clear" w:color="000000" w:fill="FFFFFF"/>
          </w:tcPr>
          <w:p w14:paraId="2DF5D8C0"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595" w:type="dxa"/>
            <w:tcBorders>
              <w:top w:val="nil"/>
              <w:left w:val="single" w:sz="12" w:space="0" w:color="auto"/>
              <w:bottom w:val="single" w:sz="12" w:space="0" w:color="auto"/>
              <w:right w:val="single" w:sz="12" w:space="0" w:color="000000"/>
            </w:tcBorders>
            <w:shd w:val="clear" w:color="000000" w:fill="FFFFFF"/>
          </w:tcPr>
          <w:p w14:paraId="4B8902D5"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bottom w:val="single" w:sz="12" w:space="0" w:color="auto"/>
              <w:right w:val="single" w:sz="12" w:space="0" w:color="000000"/>
            </w:tcBorders>
            <w:shd w:val="clear" w:color="000000" w:fill="FFFFFF"/>
            <w:vAlign w:val="center"/>
          </w:tcPr>
          <w:p w14:paraId="623E9159"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80,7</w:t>
            </w:r>
          </w:p>
        </w:tc>
        <w:tc>
          <w:tcPr>
            <w:tcW w:w="1417" w:type="dxa"/>
            <w:tcBorders>
              <w:top w:val="nil"/>
              <w:left w:val="single" w:sz="2" w:space="0" w:color="000000"/>
              <w:bottom w:val="single" w:sz="12" w:space="0" w:color="auto"/>
              <w:right w:val="single" w:sz="2" w:space="0" w:color="000000"/>
            </w:tcBorders>
            <w:shd w:val="clear" w:color="000000" w:fill="FFFFFF"/>
            <w:vAlign w:val="center"/>
          </w:tcPr>
          <w:p w14:paraId="155AF9B9"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7,2</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5E2AE162"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4,9</w:t>
            </w:r>
          </w:p>
        </w:tc>
        <w:tc>
          <w:tcPr>
            <w:tcW w:w="1134" w:type="dxa"/>
            <w:tcBorders>
              <w:top w:val="nil"/>
              <w:left w:val="single" w:sz="2" w:space="0" w:color="000000"/>
              <w:bottom w:val="single" w:sz="12" w:space="0" w:color="auto"/>
              <w:right w:val="single" w:sz="12" w:space="0" w:color="000000"/>
            </w:tcBorders>
            <w:shd w:val="clear" w:color="000000" w:fill="FFFFFF"/>
            <w:vAlign w:val="center"/>
          </w:tcPr>
          <w:p w14:paraId="2E1548C4"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7,1</w:t>
            </w:r>
          </w:p>
        </w:tc>
      </w:tr>
    </w:tbl>
    <w:p w14:paraId="6D8DDE81"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1D009A19" w14:textId="77777777" w:rsidR="001676E4" w:rsidRPr="00317DE2" w:rsidRDefault="001676E4" w:rsidP="001676E4">
      <w:pPr>
        <w:pStyle w:val="Tekstpodstawowy"/>
        <w:spacing w:line="360" w:lineRule="auto"/>
        <w:jc w:val="both"/>
        <w:rPr>
          <w:rFonts w:ascii="Arial" w:hAnsi="Arial" w:cs="Arial"/>
          <w:bCs/>
          <w:color w:val="000000"/>
          <w:sz w:val="22"/>
          <w:szCs w:val="22"/>
        </w:rPr>
      </w:pPr>
    </w:p>
    <w:p w14:paraId="3B2467DB" w14:textId="77777777" w:rsidR="001676E4" w:rsidRPr="00317DE2" w:rsidRDefault="001676E4" w:rsidP="001676E4">
      <w:pPr>
        <w:pStyle w:val="Tekstpodstawowy"/>
        <w:jc w:val="both"/>
        <w:rPr>
          <w:rFonts w:ascii="Arial" w:hAnsi="Arial" w:cs="Arial"/>
          <w:b/>
          <w:bCs/>
          <w:color w:val="000000"/>
          <w:sz w:val="22"/>
          <w:szCs w:val="22"/>
        </w:rPr>
      </w:pPr>
      <w:r w:rsidRPr="00317DE2">
        <w:rPr>
          <w:rFonts w:ascii="Arial" w:hAnsi="Arial" w:cs="Arial"/>
          <w:b/>
          <w:bCs/>
          <w:color w:val="000000"/>
          <w:sz w:val="22"/>
          <w:szCs w:val="22"/>
        </w:rPr>
        <w:br w:type="page"/>
      </w:r>
    </w:p>
    <w:p w14:paraId="7EB10DED" w14:textId="6F243107" w:rsidR="001676E4" w:rsidRPr="00A43860" w:rsidRDefault="001676E4" w:rsidP="001676E4">
      <w:pPr>
        <w:pStyle w:val="Legenda"/>
        <w:keepNext/>
        <w:rPr>
          <w:sz w:val="20"/>
          <w:szCs w:val="16"/>
        </w:rPr>
      </w:pPr>
      <w:bookmarkStart w:id="109" w:name="_Toc214279713"/>
      <w:r w:rsidRPr="00A43860">
        <w:rPr>
          <w:sz w:val="20"/>
          <w:szCs w:val="16"/>
        </w:rPr>
        <w:lastRenderedPageBreak/>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28</w:t>
      </w:r>
      <w:r w:rsidRPr="00A43860">
        <w:rPr>
          <w:sz w:val="20"/>
          <w:szCs w:val="16"/>
        </w:rPr>
        <w:fldChar w:fldCharType="end"/>
      </w:r>
      <w:r w:rsidRPr="00A43860">
        <w:rPr>
          <w:sz w:val="20"/>
          <w:szCs w:val="16"/>
        </w:rPr>
        <w:t xml:space="preserve">. Częstotliwość grania w poszczególne gry hazardowe w czasie ostatnich 12 miesięcy przed badaniem przez </w:t>
      </w:r>
      <w:proofErr w:type="spellStart"/>
      <w:r w:rsidRPr="00A43860">
        <w:rPr>
          <w:sz w:val="20"/>
          <w:szCs w:val="16"/>
        </w:rPr>
        <w:t>internet</w:t>
      </w:r>
      <w:proofErr w:type="spellEnd"/>
      <w:r w:rsidRPr="00A43860">
        <w:rPr>
          <w:sz w:val="20"/>
          <w:szCs w:val="16"/>
        </w:rPr>
        <w:t xml:space="preserve"> (Polska).</w:t>
      </w:r>
      <w:bookmarkEnd w:id="109"/>
    </w:p>
    <w:tbl>
      <w:tblPr>
        <w:tblW w:w="9390" w:type="dxa"/>
        <w:tblInd w:w="93" w:type="dxa"/>
        <w:tblLayout w:type="fixed"/>
        <w:tblCellMar>
          <w:left w:w="93" w:type="dxa"/>
          <w:right w:w="93" w:type="dxa"/>
        </w:tblCellMar>
        <w:tblLook w:val="0000" w:firstRow="0" w:lastRow="0" w:firstColumn="0" w:lastColumn="0" w:noHBand="0" w:noVBand="0"/>
      </w:tblPr>
      <w:tblGrid>
        <w:gridCol w:w="1800"/>
        <w:gridCol w:w="2453"/>
        <w:gridCol w:w="1134"/>
        <w:gridCol w:w="1488"/>
        <w:gridCol w:w="1489"/>
        <w:gridCol w:w="1026"/>
      </w:tblGrid>
      <w:tr w:rsidR="001676E4" w:rsidRPr="0092722E" w14:paraId="0221D643" w14:textId="77777777" w:rsidTr="003D66E5">
        <w:trPr>
          <w:trHeight w:val="512"/>
        </w:trPr>
        <w:tc>
          <w:tcPr>
            <w:tcW w:w="1800" w:type="dxa"/>
            <w:tcBorders>
              <w:top w:val="single" w:sz="12" w:space="0" w:color="000000"/>
              <w:left w:val="single" w:sz="12" w:space="0" w:color="000000"/>
              <w:bottom w:val="single" w:sz="12" w:space="0" w:color="000000"/>
              <w:right w:val="single" w:sz="12" w:space="0" w:color="auto"/>
            </w:tcBorders>
            <w:shd w:val="clear" w:color="000000" w:fill="FFFFFF"/>
            <w:vAlign w:val="center"/>
          </w:tcPr>
          <w:p w14:paraId="69704757"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Kohorta</w:t>
            </w:r>
          </w:p>
        </w:tc>
        <w:tc>
          <w:tcPr>
            <w:tcW w:w="2453" w:type="dxa"/>
            <w:tcBorders>
              <w:top w:val="single" w:sz="12" w:space="0" w:color="000000"/>
              <w:left w:val="single" w:sz="12" w:space="0" w:color="auto"/>
              <w:bottom w:val="single" w:sz="12" w:space="0" w:color="000000"/>
              <w:right w:val="single" w:sz="12" w:space="0" w:color="000000"/>
            </w:tcBorders>
            <w:shd w:val="clear" w:color="000000" w:fill="FFFFFF"/>
            <w:vAlign w:val="center"/>
          </w:tcPr>
          <w:p w14:paraId="136DB365"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p>
        </w:tc>
        <w:tc>
          <w:tcPr>
            <w:tcW w:w="1134"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7287D48C"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W ogóle nie</w:t>
            </w:r>
          </w:p>
        </w:tc>
        <w:tc>
          <w:tcPr>
            <w:tcW w:w="1488"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5FF1FB2A"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Raz na miesiąc lub rzadziej</w:t>
            </w:r>
          </w:p>
        </w:tc>
        <w:tc>
          <w:tcPr>
            <w:tcW w:w="1489"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613D6148"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2-4 razy w miesiącu</w:t>
            </w:r>
          </w:p>
        </w:tc>
        <w:tc>
          <w:tcPr>
            <w:tcW w:w="1026"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0AC9FDFF" w14:textId="77777777" w:rsidR="001676E4" w:rsidRPr="0092722E" w:rsidRDefault="001676E4" w:rsidP="003D66E5">
            <w:pPr>
              <w:spacing w:after="0"/>
              <w:jc w:val="center"/>
              <w:rPr>
                <w:rFonts w:cs="Arial"/>
                <w:b/>
                <w:bCs/>
                <w:color w:val="000000"/>
                <w:sz w:val="18"/>
                <w:szCs w:val="18"/>
              </w:rPr>
            </w:pPr>
            <w:r w:rsidRPr="0092722E">
              <w:rPr>
                <w:rFonts w:cs="Arial"/>
                <w:b/>
                <w:bCs/>
                <w:color w:val="000000"/>
                <w:sz w:val="18"/>
                <w:szCs w:val="18"/>
              </w:rPr>
              <w:t>2-3 razy w tygodniu</w:t>
            </w:r>
          </w:p>
        </w:tc>
      </w:tr>
      <w:tr w:rsidR="001676E4" w:rsidRPr="005952CC" w14:paraId="5E586261" w14:textId="77777777" w:rsidTr="003D66E5">
        <w:trPr>
          <w:cantSplit/>
          <w:trHeight w:val="544"/>
        </w:trPr>
        <w:tc>
          <w:tcPr>
            <w:tcW w:w="1800" w:type="dxa"/>
            <w:vMerge w:val="restart"/>
            <w:tcBorders>
              <w:top w:val="single" w:sz="12" w:space="0" w:color="000000"/>
              <w:left w:val="single" w:sz="12" w:space="0" w:color="000000"/>
              <w:right w:val="single" w:sz="12" w:space="0" w:color="auto"/>
            </w:tcBorders>
            <w:shd w:val="clear" w:color="000000" w:fill="FFFFFF"/>
          </w:tcPr>
          <w:p w14:paraId="67258BC6"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Młodsza kohorta (15-16 lat)</w:t>
            </w:r>
          </w:p>
          <w:p w14:paraId="2670170E"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 xml:space="preserve"> </w:t>
            </w:r>
          </w:p>
          <w:p w14:paraId="353142B0"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 xml:space="preserve"> </w:t>
            </w:r>
          </w:p>
          <w:p w14:paraId="3DD8222B"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single" w:sz="12" w:space="0" w:color="000000"/>
              <w:left w:val="single" w:sz="12" w:space="0" w:color="auto"/>
              <w:bottom w:val="nil"/>
              <w:right w:val="single" w:sz="12" w:space="0" w:color="000000"/>
            </w:tcBorders>
            <w:shd w:val="clear" w:color="000000" w:fill="FFFFFF"/>
          </w:tcPr>
          <w:p w14:paraId="27A3A95C"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Automaty</w:t>
            </w:r>
          </w:p>
        </w:tc>
        <w:tc>
          <w:tcPr>
            <w:tcW w:w="1134" w:type="dxa"/>
            <w:tcBorders>
              <w:top w:val="single" w:sz="12" w:space="0" w:color="000000"/>
              <w:left w:val="single" w:sz="2" w:space="0" w:color="000000"/>
              <w:bottom w:val="nil"/>
              <w:right w:val="single" w:sz="12" w:space="0" w:color="000000"/>
            </w:tcBorders>
            <w:shd w:val="clear" w:color="000000" w:fill="FFFFFF"/>
            <w:vAlign w:val="center"/>
          </w:tcPr>
          <w:p w14:paraId="4CA4EAD0"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91,3</w:t>
            </w:r>
          </w:p>
        </w:tc>
        <w:tc>
          <w:tcPr>
            <w:tcW w:w="1488" w:type="dxa"/>
            <w:tcBorders>
              <w:top w:val="single" w:sz="12" w:space="0" w:color="000000"/>
              <w:left w:val="single" w:sz="2" w:space="0" w:color="000000"/>
              <w:bottom w:val="nil"/>
              <w:right w:val="single" w:sz="2" w:space="0" w:color="000000"/>
            </w:tcBorders>
            <w:shd w:val="clear" w:color="000000" w:fill="FFFFFF"/>
            <w:vAlign w:val="center"/>
          </w:tcPr>
          <w:p w14:paraId="6DD116D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5,1</w:t>
            </w:r>
          </w:p>
        </w:tc>
        <w:tc>
          <w:tcPr>
            <w:tcW w:w="1489" w:type="dxa"/>
            <w:tcBorders>
              <w:top w:val="single" w:sz="12" w:space="0" w:color="000000"/>
              <w:left w:val="single" w:sz="2" w:space="0" w:color="000000"/>
              <w:bottom w:val="nil"/>
              <w:right w:val="single" w:sz="2" w:space="0" w:color="000000"/>
            </w:tcBorders>
            <w:shd w:val="clear" w:color="000000" w:fill="FFFFFF"/>
            <w:vAlign w:val="center"/>
          </w:tcPr>
          <w:p w14:paraId="0965F174"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1,2</w:t>
            </w:r>
          </w:p>
        </w:tc>
        <w:tc>
          <w:tcPr>
            <w:tcW w:w="1026" w:type="dxa"/>
            <w:tcBorders>
              <w:top w:val="single" w:sz="12" w:space="0" w:color="000000"/>
              <w:left w:val="single" w:sz="2" w:space="0" w:color="000000"/>
              <w:bottom w:val="nil"/>
              <w:right w:val="single" w:sz="12" w:space="0" w:color="000000"/>
            </w:tcBorders>
            <w:shd w:val="clear" w:color="000000" w:fill="FFFFFF"/>
            <w:vAlign w:val="center"/>
          </w:tcPr>
          <w:p w14:paraId="26EC9D39"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2,4</w:t>
            </w:r>
          </w:p>
        </w:tc>
      </w:tr>
      <w:tr w:rsidR="001676E4" w:rsidRPr="005952CC" w14:paraId="6631C84B" w14:textId="77777777" w:rsidTr="003D66E5">
        <w:trPr>
          <w:cantSplit/>
          <w:trHeight w:val="545"/>
        </w:trPr>
        <w:tc>
          <w:tcPr>
            <w:tcW w:w="1800" w:type="dxa"/>
            <w:vMerge/>
            <w:tcBorders>
              <w:left w:val="single" w:sz="12" w:space="0" w:color="000000"/>
              <w:right w:val="single" w:sz="12" w:space="0" w:color="auto"/>
            </w:tcBorders>
            <w:shd w:val="clear" w:color="000000" w:fill="FFFFFF"/>
          </w:tcPr>
          <w:p w14:paraId="7FC318CC"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nil"/>
              <w:left w:val="single" w:sz="12" w:space="0" w:color="auto"/>
              <w:bottom w:val="nil"/>
              <w:right w:val="single" w:sz="12" w:space="0" w:color="000000"/>
            </w:tcBorders>
            <w:shd w:val="clear" w:color="000000" w:fill="FFFFFF"/>
          </w:tcPr>
          <w:p w14:paraId="7A9B4A15"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32761120"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91,3</w:t>
            </w:r>
          </w:p>
        </w:tc>
        <w:tc>
          <w:tcPr>
            <w:tcW w:w="1488" w:type="dxa"/>
            <w:tcBorders>
              <w:top w:val="nil"/>
              <w:left w:val="single" w:sz="2" w:space="0" w:color="000000"/>
              <w:bottom w:val="nil"/>
              <w:right w:val="single" w:sz="2" w:space="0" w:color="000000"/>
            </w:tcBorders>
            <w:shd w:val="clear" w:color="000000" w:fill="FFFFFF"/>
            <w:vAlign w:val="center"/>
          </w:tcPr>
          <w:p w14:paraId="767BB81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4,0</w:t>
            </w:r>
          </w:p>
        </w:tc>
        <w:tc>
          <w:tcPr>
            <w:tcW w:w="1489" w:type="dxa"/>
            <w:tcBorders>
              <w:top w:val="nil"/>
              <w:left w:val="single" w:sz="2" w:space="0" w:color="000000"/>
              <w:bottom w:val="nil"/>
              <w:right w:val="single" w:sz="2" w:space="0" w:color="000000"/>
            </w:tcBorders>
            <w:shd w:val="clear" w:color="000000" w:fill="FFFFFF"/>
            <w:vAlign w:val="center"/>
          </w:tcPr>
          <w:p w14:paraId="03521E6E"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1,9</w:t>
            </w:r>
          </w:p>
        </w:tc>
        <w:tc>
          <w:tcPr>
            <w:tcW w:w="1026" w:type="dxa"/>
            <w:tcBorders>
              <w:top w:val="nil"/>
              <w:left w:val="single" w:sz="2" w:space="0" w:color="000000"/>
              <w:bottom w:val="nil"/>
              <w:right w:val="single" w:sz="12" w:space="0" w:color="000000"/>
            </w:tcBorders>
            <w:shd w:val="clear" w:color="000000" w:fill="FFFFFF"/>
            <w:vAlign w:val="center"/>
          </w:tcPr>
          <w:p w14:paraId="00660DF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2,7</w:t>
            </w:r>
          </w:p>
        </w:tc>
      </w:tr>
      <w:tr w:rsidR="001676E4" w:rsidRPr="005952CC" w14:paraId="3EA8E4B4"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1EDDCBBF"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nil"/>
              <w:left w:val="single" w:sz="12" w:space="0" w:color="auto"/>
              <w:bottom w:val="nil"/>
              <w:right w:val="single" w:sz="12" w:space="0" w:color="000000"/>
            </w:tcBorders>
            <w:shd w:val="clear" w:color="000000" w:fill="FFFFFF"/>
          </w:tcPr>
          <w:p w14:paraId="3DDE1430" w14:textId="77777777" w:rsidR="001676E4" w:rsidRPr="005952CC" w:rsidRDefault="001676E4" w:rsidP="003D66E5">
            <w:pPr>
              <w:widowControl w:val="0"/>
              <w:tabs>
                <w:tab w:val="left" w:pos="2517"/>
              </w:tabs>
              <w:autoSpaceDE w:val="0"/>
              <w:autoSpaceDN w:val="0"/>
              <w:adjustRightInd w:val="0"/>
              <w:spacing w:after="0" w:line="240" w:lineRule="auto"/>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0BB938F4"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91,3</w:t>
            </w:r>
          </w:p>
        </w:tc>
        <w:tc>
          <w:tcPr>
            <w:tcW w:w="1488" w:type="dxa"/>
            <w:tcBorders>
              <w:top w:val="nil"/>
              <w:left w:val="single" w:sz="2" w:space="0" w:color="000000"/>
              <w:bottom w:val="nil"/>
              <w:right w:val="single" w:sz="2" w:space="0" w:color="000000"/>
            </w:tcBorders>
            <w:shd w:val="clear" w:color="000000" w:fill="FFFFFF"/>
            <w:vAlign w:val="center"/>
          </w:tcPr>
          <w:p w14:paraId="5BCA8F0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4,8</w:t>
            </w:r>
          </w:p>
        </w:tc>
        <w:tc>
          <w:tcPr>
            <w:tcW w:w="1489" w:type="dxa"/>
            <w:tcBorders>
              <w:top w:val="nil"/>
              <w:left w:val="single" w:sz="2" w:space="0" w:color="000000"/>
              <w:bottom w:val="nil"/>
              <w:right w:val="single" w:sz="2" w:space="0" w:color="000000"/>
            </w:tcBorders>
            <w:shd w:val="clear" w:color="000000" w:fill="FFFFFF"/>
            <w:vAlign w:val="center"/>
          </w:tcPr>
          <w:p w14:paraId="04DCF335"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1,7</w:t>
            </w:r>
          </w:p>
        </w:tc>
        <w:tc>
          <w:tcPr>
            <w:tcW w:w="1026" w:type="dxa"/>
            <w:tcBorders>
              <w:top w:val="nil"/>
              <w:left w:val="single" w:sz="2" w:space="0" w:color="000000"/>
              <w:bottom w:val="nil"/>
              <w:right w:val="single" w:sz="12" w:space="0" w:color="000000"/>
            </w:tcBorders>
            <w:shd w:val="clear" w:color="000000" w:fill="FFFFFF"/>
            <w:vAlign w:val="center"/>
          </w:tcPr>
          <w:p w14:paraId="2B6AE390"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2,2</w:t>
            </w:r>
          </w:p>
        </w:tc>
      </w:tr>
      <w:tr w:rsidR="001676E4" w:rsidRPr="005952CC" w14:paraId="3347AC4F" w14:textId="77777777" w:rsidTr="003D66E5">
        <w:trPr>
          <w:cantSplit/>
          <w:trHeight w:val="392"/>
        </w:trPr>
        <w:tc>
          <w:tcPr>
            <w:tcW w:w="1800" w:type="dxa"/>
            <w:vMerge/>
            <w:tcBorders>
              <w:left w:val="single" w:sz="12" w:space="0" w:color="000000"/>
              <w:right w:val="single" w:sz="12" w:space="0" w:color="auto"/>
            </w:tcBorders>
            <w:shd w:val="clear" w:color="000000" w:fill="FFFFFF"/>
          </w:tcPr>
          <w:p w14:paraId="705A9B9D"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nil"/>
              <w:left w:val="single" w:sz="12" w:space="0" w:color="auto"/>
              <w:right w:val="single" w:sz="12" w:space="0" w:color="000000"/>
            </w:tcBorders>
            <w:shd w:val="clear" w:color="000000" w:fill="FFFFFF"/>
          </w:tcPr>
          <w:p w14:paraId="5F10C826"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right w:val="single" w:sz="12" w:space="0" w:color="000000"/>
            </w:tcBorders>
            <w:shd w:val="clear" w:color="000000" w:fill="FFFFFF"/>
            <w:vAlign w:val="center"/>
          </w:tcPr>
          <w:p w14:paraId="21DB4C39"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86,6</w:t>
            </w:r>
          </w:p>
        </w:tc>
        <w:tc>
          <w:tcPr>
            <w:tcW w:w="1488" w:type="dxa"/>
            <w:tcBorders>
              <w:top w:val="nil"/>
              <w:left w:val="single" w:sz="2" w:space="0" w:color="000000"/>
              <w:right w:val="single" w:sz="2" w:space="0" w:color="000000"/>
            </w:tcBorders>
            <w:shd w:val="clear" w:color="000000" w:fill="FFFFFF"/>
            <w:vAlign w:val="center"/>
          </w:tcPr>
          <w:p w14:paraId="7507E83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5,5</w:t>
            </w:r>
          </w:p>
        </w:tc>
        <w:tc>
          <w:tcPr>
            <w:tcW w:w="1489" w:type="dxa"/>
            <w:tcBorders>
              <w:top w:val="nil"/>
              <w:left w:val="single" w:sz="2" w:space="0" w:color="000000"/>
              <w:right w:val="single" w:sz="2" w:space="0" w:color="000000"/>
            </w:tcBorders>
            <w:shd w:val="clear" w:color="000000" w:fill="FFFFFF"/>
            <w:vAlign w:val="center"/>
          </w:tcPr>
          <w:p w14:paraId="4B639690"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3,3</w:t>
            </w:r>
          </w:p>
        </w:tc>
        <w:tc>
          <w:tcPr>
            <w:tcW w:w="1026" w:type="dxa"/>
            <w:tcBorders>
              <w:top w:val="nil"/>
              <w:left w:val="single" w:sz="2" w:space="0" w:color="000000"/>
              <w:right w:val="single" w:sz="12" w:space="0" w:color="000000"/>
            </w:tcBorders>
            <w:shd w:val="clear" w:color="000000" w:fill="FFFFFF"/>
            <w:vAlign w:val="center"/>
          </w:tcPr>
          <w:p w14:paraId="4693E868"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4,6</w:t>
            </w:r>
          </w:p>
        </w:tc>
      </w:tr>
      <w:tr w:rsidR="001676E4" w:rsidRPr="005952CC" w14:paraId="69949BC3" w14:textId="77777777" w:rsidTr="003D66E5">
        <w:trPr>
          <w:cantSplit/>
          <w:trHeight w:val="544"/>
        </w:trPr>
        <w:tc>
          <w:tcPr>
            <w:tcW w:w="1800" w:type="dxa"/>
            <w:vMerge w:val="restart"/>
            <w:tcBorders>
              <w:top w:val="single" w:sz="4" w:space="0" w:color="000000"/>
              <w:left w:val="single" w:sz="12" w:space="0" w:color="000000"/>
              <w:right w:val="single" w:sz="12" w:space="0" w:color="auto"/>
            </w:tcBorders>
            <w:shd w:val="clear" w:color="000000" w:fill="FFFFFF"/>
          </w:tcPr>
          <w:p w14:paraId="5FAA13F6"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Starsza kohorta (17-18 lat)</w:t>
            </w:r>
          </w:p>
          <w:p w14:paraId="1ACCA63A"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single" w:sz="4" w:space="0" w:color="auto"/>
              <w:left w:val="single" w:sz="12" w:space="0" w:color="auto"/>
              <w:bottom w:val="nil"/>
              <w:right w:val="single" w:sz="12" w:space="0" w:color="000000"/>
            </w:tcBorders>
            <w:shd w:val="clear" w:color="000000" w:fill="FFFFFF"/>
          </w:tcPr>
          <w:p w14:paraId="3811BB17"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Automaty</w:t>
            </w:r>
          </w:p>
        </w:tc>
        <w:tc>
          <w:tcPr>
            <w:tcW w:w="1134" w:type="dxa"/>
            <w:tcBorders>
              <w:top w:val="single" w:sz="4" w:space="0" w:color="auto"/>
              <w:left w:val="single" w:sz="2" w:space="0" w:color="000000"/>
              <w:bottom w:val="nil"/>
              <w:right w:val="single" w:sz="12" w:space="0" w:color="000000"/>
            </w:tcBorders>
            <w:shd w:val="clear" w:color="000000" w:fill="FFFFFF"/>
            <w:vAlign w:val="center"/>
          </w:tcPr>
          <w:p w14:paraId="1B4327CA"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94,1</w:t>
            </w:r>
          </w:p>
        </w:tc>
        <w:tc>
          <w:tcPr>
            <w:tcW w:w="1488" w:type="dxa"/>
            <w:tcBorders>
              <w:top w:val="single" w:sz="4" w:space="0" w:color="auto"/>
              <w:left w:val="single" w:sz="2" w:space="0" w:color="000000"/>
              <w:bottom w:val="nil"/>
              <w:right w:val="single" w:sz="2" w:space="0" w:color="000000"/>
            </w:tcBorders>
            <w:shd w:val="clear" w:color="000000" w:fill="FFFFFF"/>
            <w:vAlign w:val="center"/>
          </w:tcPr>
          <w:p w14:paraId="7A5A4054"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3,8</w:t>
            </w:r>
          </w:p>
        </w:tc>
        <w:tc>
          <w:tcPr>
            <w:tcW w:w="1489" w:type="dxa"/>
            <w:tcBorders>
              <w:top w:val="single" w:sz="4" w:space="0" w:color="auto"/>
              <w:left w:val="single" w:sz="2" w:space="0" w:color="000000"/>
              <w:bottom w:val="nil"/>
              <w:right w:val="single" w:sz="2" w:space="0" w:color="000000"/>
            </w:tcBorders>
            <w:shd w:val="clear" w:color="000000" w:fill="FFFFFF"/>
            <w:vAlign w:val="center"/>
          </w:tcPr>
          <w:p w14:paraId="7362CF72"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1,0</w:t>
            </w:r>
          </w:p>
        </w:tc>
        <w:tc>
          <w:tcPr>
            <w:tcW w:w="1026" w:type="dxa"/>
            <w:tcBorders>
              <w:top w:val="single" w:sz="4" w:space="0" w:color="auto"/>
              <w:left w:val="single" w:sz="2" w:space="0" w:color="000000"/>
              <w:bottom w:val="nil"/>
              <w:right w:val="single" w:sz="12" w:space="0" w:color="000000"/>
            </w:tcBorders>
            <w:shd w:val="clear" w:color="000000" w:fill="FFFFFF"/>
            <w:vAlign w:val="center"/>
          </w:tcPr>
          <w:p w14:paraId="30BD4F3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1,1</w:t>
            </w:r>
          </w:p>
        </w:tc>
      </w:tr>
      <w:tr w:rsidR="001676E4" w:rsidRPr="005952CC" w14:paraId="56476AFF"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05287D2E"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nil"/>
              <w:left w:val="single" w:sz="12" w:space="0" w:color="auto"/>
              <w:bottom w:val="nil"/>
              <w:right w:val="single" w:sz="12" w:space="0" w:color="000000"/>
            </w:tcBorders>
            <w:shd w:val="clear" w:color="000000" w:fill="FFFFFF"/>
          </w:tcPr>
          <w:p w14:paraId="7D57126B"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Karty lub kości</w:t>
            </w:r>
          </w:p>
        </w:tc>
        <w:tc>
          <w:tcPr>
            <w:tcW w:w="1134" w:type="dxa"/>
            <w:tcBorders>
              <w:top w:val="nil"/>
              <w:left w:val="single" w:sz="2" w:space="0" w:color="000000"/>
              <w:bottom w:val="nil"/>
              <w:right w:val="single" w:sz="12" w:space="0" w:color="000000"/>
            </w:tcBorders>
            <w:shd w:val="clear" w:color="000000" w:fill="FFFFFF"/>
            <w:vAlign w:val="center"/>
          </w:tcPr>
          <w:p w14:paraId="106A825E"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92,4</w:t>
            </w:r>
          </w:p>
        </w:tc>
        <w:tc>
          <w:tcPr>
            <w:tcW w:w="1488" w:type="dxa"/>
            <w:tcBorders>
              <w:top w:val="nil"/>
              <w:left w:val="single" w:sz="2" w:space="0" w:color="000000"/>
              <w:bottom w:val="nil"/>
              <w:right w:val="single" w:sz="2" w:space="0" w:color="000000"/>
            </w:tcBorders>
            <w:shd w:val="clear" w:color="000000" w:fill="FFFFFF"/>
            <w:vAlign w:val="center"/>
          </w:tcPr>
          <w:p w14:paraId="61180E6A"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4,5</w:t>
            </w:r>
          </w:p>
        </w:tc>
        <w:tc>
          <w:tcPr>
            <w:tcW w:w="1489" w:type="dxa"/>
            <w:tcBorders>
              <w:top w:val="nil"/>
              <w:left w:val="single" w:sz="2" w:space="0" w:color="000000"/>
              <w:bottom w:val="nil"/>
              <w:right w:val="single" w:sz="2" w:space="0" w:color="000000"/>
            </w:tcBorders>
            <w:shd w:val="clear" w:color="000000" w:fill="FFFFFF"/>
            <w:vAlign w:val="center"/>
          </w:tcPr>
          <w:p w14:paraId="72EDD02C"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1,9</w:t>
            </w:r>
          </w:p>
        </w:tc>
        <w:tc>
          <w:tcPr>
            <w:tcW w:w="1026" w:type="dxa"/>
            <w:tcBorders>
              <w:top w:val="nil"/>
              <w:left w:val="single" w:sz="2" w:space="0" w:color="000000"/>
              <w:bottom w:val="nil"/>
              <w:right w:val="single" w:sz="12" w:space="0" w:color="000000"/>
            </w:tcBorders>
            <w:shd w:val="clear" w:color="000000" w:fill="FFFFFF"/>
            <w:vAlign w:val="center"/>
          </w:tcPr>
          <w:p w14:paraId="285815C2"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1,2</w:t>
            </w:r>
          </w:p>
        </w:tc>
      </w:tr>
      <w:tr w:rsidR="001676E4" w:rsidRPr="005952CC" w14:paraId="59DF6545" w14:textId="77777777" w:rsidTr="003D66E5">
        <w:trPr>
          <w:cantSplit/>
          <w:trHeight w:val="544"/>
        </w:trPr>
        <w:tc>
          <w:tcPr>
            <w:tcW w:w="1800" w:type="dxa"/>
            <w:vMerge/>
            <w:tcBorders>
              <w:left w:val="single" w:sz="12" w:space="0" w:color="000000"/>
              <w:right w:val="single" w:sz="12" w:space="0" w:color="auto"/>
            </w:tcBorders>
            <w:shd w:val="clear" w:color="000000" w:fill="FFFFFF"/>
          </w:tcPr>
          <w:p w14:paraId="0CE0A955"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nil"/>
              <w:left w:val="single" w:sz="12" w:space="0" w:color="auto"/>
              <w:bottom w:val="nil"/>
              <w:right w:val="single" w:sz="12" w:space="0" w:color="000000"/>
            </w:tcBorders>
            <w:shd w:val="clear" w:color="000000" w:fill="FFFFFF"/>
          </w:tcPr>
          <w:p w14:paraId="21CCDC8D" w14:textId="77777777" w:rsidR="001676E4" w:rsidRPr="005952CC" w:rsidRDefault="001676E4" w:rsidP="003D66E5">
            <w:pPr>
              <w:widowControl w:val="0"/>
              <w:tabs>
                <w:tab w:val="left" w:pos="2517"/>
              </w:tabs>
              <w:autoSpaceDE w:val="0"/>
              <w:autoSpaceDN w:val="0"/>
              <w:adjustRightInd w:val="0"/>
              <w:spacing w:after="0" w:line="240" w:lineRule="auto"/>
              <w:rPr>
                <w:rFonts w:cs="Arial"/>
                <w:color w:val="000000"/>
                <w:sz w:val="18"/>
                <w:szCs w:val="18"/>
              </w:rPr>
            </w:pPr>
            <w:r w:rsidRPr="005952CC">
              <w:rPr>
                <w:rFonts w:cs="Arial"/>
                <w:color w:val="000000"/>
                <w:sz w:val="18"/>
                <w:szCs w:val="18"/>
              </w:rPr>
              <w:t>Loterie (bingo, lotto)</w:t>
            </w:r>
          </w:p>
        </w:tc>
        <w:tc>
          <w:tcPr>
            <w:tcW w:w="1134" w:type="dxa"/>
            <w:tcBorders>
              <w:top w:val="nil"/>
              <w:left w:val="single" w:sz="2" w:space="0" w:color="000000"/>
              <w:bottom w:val="nil"/>
              <w:right w:val="single" w:sz="12" w:space="0" w:color="000000"/>
            </w:tcBorders>
            <w:shd w:val="clear" w:color="000000" w:fill="FFFFFF"/>
            <w:vAlign w:val="center"/>
          </w:tcPr>
          <w:p w14:paraId="4B35C951"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92,9</w:t>
            </w:r>
          </w:p>
        </w:tc>
        <w:tc>
          <w:tcPr>
            <w:tcW w:w="1488" w:type="dxa"/>
            <w:tcBorders>
              <w:top w:val="nil"/>
              <w:left w:val="single" w:sz="2" w:space="0" w:color="000000"/>
              <w:bottom w:val="nil"/>
              <w:right w:val="single" w:sz="2" w:space="0" w:color="000000"/>
            </w:tcBorders>
            <w:shd w:val="clear" w:color="000000" w:fill="FFFFFF"/>
            <w:vAlign w:val="center"/>
          </w:tcPr>
          <w:p w14:paraId="6978F5D3"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4,7</w:t>
            </w:r>
          </w:p>
        </w:tc>
        <w:tc>
          <w:tcPr>
            <w:tcW w:w="1489" w:type="dxa"/>
            <w:tcBorders>
              <w:top w:val="nil"/>
              <w:left w:val="single" w:sz="2" w:space="0" w:color="000000"/>
              <w:bottom w:val="nil"/>
              <w:right w:val="single" w:sz="2" w:space="0" w:color="000000"/>
            </w:tcBorders>
            <w:shd w:val="clear" w:color="000000" w:fill="FFFFFF"/>
            <w:vAlign w:val="center"/>
          </w:tcPr>
          <w:p w14:paraId="607B91D7"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1,3</w:t>
            </w:r>
          </w:p>
        </w:tc>
        <w:tc>
          <w:tcPr>
            <w:tcW w:w="1026" w:type="dxa"/>
            <w:tcBorders>
              <w:top w:val="nil"/>
              <w:left w:val="single" w:sz="2" w:space="0" w:color="000000"/>
              <w:bottom w:val="nil"/>
              <w:right w:val="single" w:sz="12" w:space="0" w:color="000000"/>
            </w:tcBorders>
            <w:shd w:val="clear" w:color="000000" w:fill="FFFFFF"/>
            <w:vAlign w:val="center"/>
          </w:tcPr>
          <w:p w14:paraId="7F96DE69"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1,2</w:t>
            </w:r>
          </w:p>
        </w:tc>
      </w:tr>
      <w:tr w:rsidR="001676E4" w:rsidRPr="005952CC" w14:paraId="7BA98E03" w14:textId="77777777" w:rsidTr="003D66E5">
        <w:trPr>
          <w:cantSplit/>
          <w:trHeight w:val="445"/>
        </w:trPr>
        <w:tc>
          <w:tcPr>
            <w:tcW w:w="1800" w:type="dxa"/>
            <w:vMerge/>
            <w:tcBorders>
              <w:left w:val="single" w:sz="12" w:space="0" w:color="000000"/>
              <w:bottom w:val="single" w:sz="12" w:space="0" w:color="auto"/>
              <w:right w:val="single" w:sz="12" w:space="0" w:color="auto"/>
            </w:tcBorders>
            <w:shd w:val="clear" w:color="000000" w:fill="FFFFFF"/>
          </w:tcPr>
          <w:p w14:paraId="6A3CDD1C"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p>
        </w:tc>
        <w:tc>
          <w:tcPr>
            <w:tcW w:w="2453" w:type="dxa"/>
            <w:tcBorders>
              <w:top w:val="nil"/>
              <w:left w:val="single" w:sz="12" w:space="0" w:color="auto"/>
              <w:bottom w:val="single" w:sz="12" w:space="0" w:color="auto"/>
              <w:right w:val="single" w:sz="12" w:space="0" w:color="000000"/>
            </w:tcBorders>
            <w:shd w:val="clear" w:color="000000" w:fill="FFFFFF"/>
          </w:tcPr>
          <w:p w14:paraId="3BFB5B3B" w14:textId="77777777" w:rsidR="001676E4" w:rsidRPr="005952CC" w:rsidRDefault="001676E4" w:rsidP="003D66E5">
            <w:pPr>
              <w:widowControl w:val="0"/>
              <w:autoSpaceDE w:val="0"/>
              <w:autoSpaceDN w:val="0"/>
              <w:adjustRightInd w:val="0"/>
              <w:spacing w:after="0" w:line="240" w:lineRule="auto"/>
              <w:rPr>
                <w:rFonts w:cs="Arial"/>
                <w:color w:val="000000"/>
                <w:sz w:val="18"/>
                <w:szCs w:val="18"/>
              </w:rPr>
            </w:pPr>
            <w:r w:rsidRPr="005952CC">
              <w:rPr>
                <w:rFonts w:cs="Arial"/>
                <w:color w:val="000000"/>
                <w:sz w:val="18"/>
                <w:szCs w:val="18"/>
              </w:rPr>
              <w:t>Zakłady sportowe</w:t>
            </w:r>
          </w:p>
        </w:tc>
        <w:tc>
          <w:tcPr>
            <w:tcW w:w="1134" w:type="dxa"/>
            <w:tcBorders>
              <w:top w:val="nil"/>
              <w:left w:val="single" w:sz="2" w:space="0" w:color="000000"/>
              <w:bottom w:val="single" w:sz="12" w:space="0" w:color="auto"/>
              <w:right w:val="single" w:sz="12" w:space="0" w:color="000000"/>
            </w:tcBorders>
            <w:shd w:val="clear" w:color="000000" w:fill="FFFFFF"/>
            <w:vAlign w:val="center"/>
          </w:tcPr>
          <w:p w14:paraId="34E7BB07"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84,2</w:t>
            </w:r>
          </w:p>
        </w:tc>
        <w:tc>
          <w:tcPr>
            <w:tcW w:w="1488" w:type="dxa"/>
            <w:tcBorders>
              <w:top w:val="nil"/>
              <w:left w:val="single" w:sz="2" w:space="0" w:color="000000"/>
              <w:bottom w:val="single" w:sz="12" w:space="0" w:color="auto"/>
              <w:right w:val="single" w:sz="2" w:space="0" w:color="000000"/>
            </w:tcBorders>
            <w:shd w:val="clear" w:color="000000" w:fill="FFFFFF"/>
            <w:vAlign w:val="center"/>
          </w:tcPr>
          <w:p w14:paraId="38FED828"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6,4</w:t>
            </w:r>
          </w:p>
        </w:tc>
        <w:tc>
          <w:tcPr>
            <w:tcW w:w="1489" w:type="dxa"/>
            <w:tcBorders>
              <w:top w:val="nil"/>
              <w:left w:val="single" w:sz="2" w:space="0" w:color="000000"/>
              <w:bottom w:val="single" w:sz="12" w:space="0" w:color="auto"/>
              <w:right w:val="single" w:sz="2" w:space="0" w:color="000000"/>
            </w:tcBorders>
            <w:shd w:val="clear" w:color="000000" w:fill="FFFFFF"/>
            <w:vAlign w:val="center"/>
          </w:tcPr>
          <w:p w14:paraId="23B73D7E"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5,1</w:t>
            </w:r>
          </w:p>
        </w:tc>
        <w:tc>
          <w:tcPr>
            <w:tcW w:w="1026" w:type="dxa"/>
            <w:tcBorders>
              <w:top w:val="nil"/>
              <w:left w:val="single" w:sz="2" w:space="0" w:color="000000"/>
              <w:bottom w:val="single" w:sz="12" w:space="0" w:color="auto"/>
              <w:right w:val="single" w:sz="12" w:space="0" w:color="000000"/>
            </w:tcBorders>
            <w:shd w:val="clear" w:color="000000" w:fill="FFFFFF"/>
            <w:vAlign w:val="center"/>
          </w:tcPr>
          <w:p w14:paraId="47BEBEC6" w14:textId="77777777" w:rsidR="001676E4" w:rsidRPr="005952CC" w:rsidRDefault="001676E4" w:rsidP="003D66E5">
            <w:pPr>
              <w:spacing w:after="0" w:line="240" w:lineRule="auto"/>
              <w:jc w:val="right"/>
              <w:rPr>
                <w:rFonts w:cs="Arial"/>
                <w:color w:val="000000"/>
                <w:sz w:val="18"/>
                <w:szCs w:val="18"/>
              </w:rPr>
            </w:pPr>
            <w:r w:rsidRPr="005952CC">
              <w:rPr>
                <w:rFonts w:cs="Arial"/>
                <w:color w:val="000000"/>
                <w:sz w:val="18"/>
                <w:szCs w:val="18"/>
              </w:rPr>
              <w:t>4,2</w:t>
            </w:r>
          </w:p>
        </w:tc>
      </w:tr>
    </w:tbl>
    <w:p w14:paraId="435C08E4"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32BA125C" w14:textId="403A7AEB" w:rsidR="001676E4" w:rsidRPr="00317DE2" w:rsidRDefault="001676E4" w:rsidP="001676E4">
      <w:pPr>
        <w:widowControl w:val="0"/>
        <w:tabs>
          <w:tab w:val="center" w:pos="4651"/>
        </w:tabs>
        <w:autoSpaceDE w:val="0"/>
        <w:autoSpaceDN w:val="0"/>
        <w:adjustRightInd w:val="0"/>
        <w:spacing w:before="240" w:line="360" w:lineRule="auto"/>
        <w:ind w:firstLine="567"/>
        <w:jc w:val="both"/>
        <w:rPr>
          <w:rFonts w:cs="Arial"/>
          <w:bCs/>
          <w:color w:val="000000"/>
          <w:sz w:val="22"/>
          <w:szCs w:val="22"/>
        </w:rPr>
      </w:pPr>
      <w:r w:rsidRPr="00317DE2">
        <w:rPr>
          <w:rFonts w:cs="Arial"/>
          <w:bCs/>
          <w:color w:val="000000"/>
          <w:sz w:val="22"/>
          <w:szCs w:val="22"/>
        </w:rPr>
        <w:t xml:space="preserve">W badaniu zastosowano dwa wskaźniki grania </w:t>
      </w:r>
      <w:r w:rsidRPr="0022273E">
        <w:rPr>
          <w:rFonts w:cs="Arial"/>
          <w:bCs/>
          <w:color w:val="000000"/>
          <w:sz w:val="22"/>
          <w:szCs w:val="22"/>
        </w:rPr>
        <w:t xml:space="preserve">problemowego (tabela </w:t>
      </w:r>
      <w:r w:rsidR="0020619E">
        <w:rPr>
          <w:rFonts w:cs="Arial"/>
          <w:bCs/>
          <w:color w:val="000000"/>
          <w:sz w:val="22"/>
          <w:szCs w:val="22"/>
        </w:rPr>
        <w:t>29</w:t>
      </w:r>
      <w:r w:rsidRPr="0022273E">
        <w:rPr>
          <w:rFonts w:cs="Arial"/>
          <w:bCs/>
          <w:color w:val="000000"/>
          <w:sz w:val="22"/>
          <w:szCs w:val="22"/>
        </w:rPr>
        <w:t>). Pierwszy</w:t>
      </w:r>
      <w:r w:rsidR="0020619E">
        <w:rPr>
          <w:rFonts w:cs="Arial"/>
          <w:bCs/>
          <w:color w:val="000000"/>
          <w:sz w:val="22"/>
          <w:szCs w:val="22"/>
        </w:rPr>
        <w:t>,</w:t>
      </w:r>
      <w:r w:rsidRPr="00317DE2">
        <w:rPr>
          <w:rFonts w:cs="Arial"/>
          <w:bCs/>
          <w:color w:val="000000"/>
          <w:sz w:val="22"/>
          <w:szCs w:val="22"/>
        </w:rPr>
        <w:t xml:space="preserve"> to potrzeba stawiania w grze coraz większych pieniędzy, a drugi</w:t>
      </w:r>
      <w:r w:rsidR="0020619E">
        <w:rPr>
          <w:rFonts w:cs="Arial"/>
          <w:bCs/>
          <w:color w:val="000000"/>
          <w:sz w:val="22"/>
          <w:szCs w:val="22"/>
        </w:rPr>
        <w:t xml:space="preserve">, </w:t>
      </w:r>
      <w:r w:rsidRPr="00317DE2">
        <w:rPr>
          <w:rFonts w:cs="Arial"/>
          <w:bCs/>
          <w:color w:val="000000"/>
          <w:sz w:val="22"/>
          <w:szCs w:val="22"/>
        </w:rPr>
        <w:t>to okłamywanie kogoś ważnego dla respondenta w sprawie tego</w:t>
      </w:r>
      <w:r w:rsidR="0020619E">
        <w:rPr>
          <w:rFonts w:cs="Arial"/>
          <w:bCs/>
          <w:color w:val="000000"/>
          <w:sz w:val="22"/>
          <w:szCs w:val="22"/>
        </w:rPr>
        <w:t>,</w:t>
      </w:r>
      <w:r w:rsidRPr="00317DE2">
        <w:rPr>
          <w:rFonts w:cs="Arial"/>
          <w:bCs/>
          <w:color w:val="000000"/>
          <w:sz w:val="22"/>
          <w:szCs w:val="22"/>
        </w:rPr>
        <w:t xml:space="preserve"> jak dużo gra w gry hazardowe. </w:t>
      </w:r>
    </w:p>
    <w:p w14:paraId="275F2445" w14:textId="1E8A6469" w:rsidR="001676E4" w:rsidRPr="00317DE2" w:rsidRDefault="001676E4" w:rsidP="001676E4">
      <w:pPr>
        <w:widowControl w:val="0"/>
        <w:tabs>
          <w:tab w:val="center" w:pos="4651"/>
        </w:tabs>
        <w:autoSpaceDE w:val="0"/>
        <w:autoSpaceDN w:val="0"/>
        <w:adjustRightInd w:val="0"/>
        <w:spacing w:line="360" w:lineRule="auto"/>
        <w:ind w:firstLine="567"/>
        <w:jc w:val="both"/>
        <w:rPr>
          <w:rFonts w:cs="Arial"/>
          <w:bCs/>
          <w:color w:val="000000"/>
          <w:sz w:val="22"/>
          <w:szCs w:val="22"/>
        </w:rPr>
      </w:pPr>
      <w:r w:rsidRPr="00317DE2">
        <w:rPr>
          <w:rFonts w:cs="Arial"/>
          <w:bCs/>
          <w:color w:val="000000"/>
          <w:sz w:val="22"/>
          <w:szCs w:val="22"/>
        </w:rPr>
        <w:t>Potrzebę stawiania coraz większych pieniędzy wyraziło 10,2% uczniów w wieku 15-16 lat oraz 11,6% uczniów w wieku 17-18 lat. Kłamanie w sprawie tego</w:t>
      </w:r>
      <w:r w:rsidR="0020619E">
        <w:rPr>
          <w:rFonts w:cs="Arial"/>
          <w:bCs/>
          <w:color w:val="000000"/>
          <w:sz w:val="22"/>
          <w:szCs w:val="22"/>
        </w:rPr>
        <w:t>,</w:t>
      </w:r>
      <w:r w:rsidRPr="00317DE2">
        <w:rPr>
          <w:rFonts w:cs="Arial"/>
          <w:bCs/>
          <w:color w:val="000000"/>
          <w:sz w:val="22"/>
          <w:szCs w:val="22"/>
        </w:rPr>
        <w:t xml:space="preserve"> jak wiele się gra okazało się mniej rozpowszechnione, tylko ok. 4,5% uczniów z młodszej kohorty i 4,8% ze starszej. Obydwa symptomy problemowego grania przejawiało 3% badanych 15- i 16-latków oraz 3,8% 17- i 18-latków.</w:t>
      </w:r>
    </w:p>
    <w:p w14:paraId="07FF4489" w14:textId="6D41EA63" w:rsidR="001676E4" w:rsidRPr="00A43860" w:rsidRDefault="001676E4" w:rsidP="001676E4">
      <w:pPr>
        <w:pStyle w:val="Legenda"/>
        <w:keepNext/>
        <w:rPr>
          <w:sz w:val="20"/>
          <w:szCs w:val="16"/>
        </w:rPr>
      </w:pPr>
      <w:bookmarkStart w:id="110" w:name="_Toc214279714"/>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29</w:t>
      </w:r>
      <w:r w:rsidRPr="00A43860">
        <w:rPr>
          <w:sz w:val="20"/>
          <w:szCs w:val="16"/>
        </w:rPr>
        <w:fldChar w:fldCharType="end"/>
      </w:r>
      <w:r w:rsidRPr="00A43860">
        <w:rPr>
          <w:sz w:val="20"/>
          <w:szCs w:val="16"/>
        </w:rPr>
        <w:t>. Symptomy grania problemowego w gry hazardowe.</w:t>
      </w:r>
      <w:bookmarkEnd w:id="110"/>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00"/>
        <w:gridCol w:w="4140"/>
        <w:gridCol w:w="1857"/>
        <w:gridCol w:w="1701"/>
      </w:tblGrid>
      <w:tr w:rsidR="001676E4" w:rsidRPr="00A43860" w14:paraId="0EF9D142" w14:textId="77777777" w:rsidTr="003D66E5">
        <w:trPr>
          <w:trHeight w:val="273"/>
        </w:trPr>
        <w:tc>
          <w:tcPr>
            <w:tcW w:w="1800" w:type="dxa"/>
            <w:tcBorders>
              <w:top w:val="single" w:sz="12" w:space="0" w:color="auto"/>
              <w:left w:val="single" w:sz="12" w:space="0" w:color="auto"/>
              <w:bottom w:val="single" w:sz="12" w:space="0" w:color="auto"/>
              <w:right w:val="single" w:sz="12" w:space="0" w:color="auto"/>
            </w:tcBorders>
            <w:shd w:val="clear" w:color="000000" w:fill="FFFFFF"/>
            <w:vAlign w:val="bottom"/>
          </w:tcPr>
          <w:p w14:paraId="66F4EA99" w14:textId="77777777" w:rsidR="001676E4" w:rsidRPr="00A43860" w:rsidRDefault="001676E4" w:rsidP="003D66E5">
            <w:pPr>
              <w:widowControl w:val="0"/>
              <w:autoSpaceDE w:val="0"/>
              <w:autoSpaceDN w:val="0"/>
              <w:adjustRightInd w:val="0"/>
              <w:spacing w:after="120"/>
              <w:jc w:val="center"/>
              <w:rPr>
                <w:rFonts w:cs="Arial"/>
                <w:b/>
                <w:bCs/>
                <w:color w:val="000000"/>
                <w:sz w:val="20"/>
                <w:szCs w:val="16"/>
              </w:rPr>
            </w:pPr>
            <w:r w:rsidRPr="00A43860">
              <w:rPr>
                <w:rFonts w:cs="Arial"/>
                <w:b/>
                <w:bCs/>
                <w:color w:val="000000"/>
                <w:sz w:val="20"/>
                <w:szCs w:val="16"/>
              </w:rPr>
              <w:t>Kohorta</w:t>
            </w:r>
          </w:p>
        </w:tc>
        <w:tc>
          <w:tcPr>
            <w:tcW w:w="4140" w:type="dxa"/>
            <w:tcBorders>
              <w:top w:val="single" w:sz="12" w:space="0" w:color="auto"/>
              <w:left w:val="single" w:sz="12" w:space="0" w:color="auto"/>
              <w:bottom w:val="single" w:sz="12" w:space="0" w:color="auto"/>
              <w:right w:val="single" w:sz="12" w:space="0" w:color="auto"/>
            </w:tcBorders>
            <w:shd w:val="clear" w:color="000000" w:fill="FFFFFF"/>
            <w:vAlign w:val="bottom"/>
          </w:tcPr>
          <w:p w14:paraId="5CD8DD93" w14:textId="77777777" w:rsidR="001676E4" w:rsidRPr="00A43860" w:rsidRDefault="001676E4" w:rsidP="003D66E5">
            <w:pPr>
              <w:widowControl w:val="0"/>
              <w:autoSpaceDE w:val="0"/>
              <w:autoSpaceDN w:val="0"/>
              <w:adjustRightInd w:val="0"/>
              <w:jc w:val="center"/>
              <w:rPr>
                <w:rFonts w:cs="Arial"/>
                <w:b/>
                <w:bCs/>
                <w:color w:val="000000"/>
                <w:sz w:val="20"/>
                <w:szCs w:val="16"/>
              </w:rPr>
            </w:pPr>
          </w:p>
        </w:tc>
        <w:tc>
          <w:tcPr>
            <w:tcW w:w="1857" w:type="dxa"/>
            <w:tcBorders>
              <w:top w:val="single" w:sz="12" w:space="0" w:color="auto"/>
              <w:bottom w:val="single" w:sz="12" w:space="0" w:color="auto"/>
              <w:right w:val="single" w:sz="12" w:space="0" w:color="auto"/>
            </w:tcBorders>
            <w:shd w:val="clear" w:color="000000" w:fill="FFFFFF"/>
          </w:tcPr>
          <w:p w14:paraId="06B9431F" w14:textId="77777777" w:rsidR="001676E4" w:rsidRPr="00A43860" w:rsidRDefault="001676E4" w:rsidP="003D66E5">
            <w:pPr>
              <w:widowControl w:val="0"/>
              <w:autoSpaceDE w:val="0"/>
              <w:autoSpaceDN w:val="0"/>
              <w:adjustRightInd w:val="0"/>
              <w:jc w:val="center"/>
              <w:rPr>
                <w:rFonts w:cs="Arial"/>
                <w:b/>
                <w:bCs/>
                <w:color w:val="000000"/>
                <w:sz w:val="20"/>
                <w:szCs w:val="16"/>
              </w:rPr>
            </w:pPr>
            <w:r w:rsidRPr="00A43860">
              <w:rPr>
                <w:rFonts w:cs="Arial"/>
                <w:b/>
                <w:bCs/>
                <w:color w:val="000000"/>
                <w:sz w:val="20"/>
                <w:szCs w:val="16"/>
              </w:rPr>
              <w:t>Lubelskie</w:t>
            </w:r>
          </w:p>
        </w:tc>
        <w:tc>
          <w:tcPr>
            <w:tcW w:w="1701" w:type="dxa"/>
            <w:tcBorders>
              <w:top w:val="single" w:sz="12" w:space="0" w:color="auto"/>
              <w:bottom w:val="single" w:sz="12" w:space="0" w:color="auto"/>
              <w:right w:val="single" w:sz="12" w:space="0" w:color="auto"/>
            </w:tcBorders>
            <w:shd w:val="clear" w:color="000000" w:fill="FFFFFF"/>
          </w:tcPr>
          <w:p w14:paraId="0C50B343" w14:textId="77777777" w:rsidR="001676E4" w:rsidRPr="00A43860" w:rsidRDefault="001676E4" w:rsidP="003D66E5">
            <w:pPr>
              <w:widowControl w:val="0"/>
              <w:autoSpaceDE w:val="0"/>
              <w:autoSpaceDN w:val="0"/>
              <w:adjustRightInd w:val="0"/>
              <w:jc w:val="center"/>
              <w:rPr>
                <w:rFonts w:cs="Arial"/>
                <w:b/>
                <w:bCs/>
                <w:color w:val="000000"/>
                <w:sz w:val="20"/>
                <w:szCs w:val="16"/>
              </w:rPr>
            </w:pPr>
            <w:r w:rsidRPr="00A43860">
              <w:rPr>
                <w:rFonts w:cs="Arial"/>
                <w:b/>
                <w:bCs/>
                <w:color w:val="000000"/>
                <w:sz w:val="20"/>
                <w:szCs w:val="16"/>
              </w:rPr>
              <w:t>Polska</w:t>
            </w:r>
          </w:p>
        </w:tc>
      </w:tr>
      <w:tr w:rsidR="001676E4" w:rsidRPr="00A43860" w14:paraId="0AB77E15" w14:textId="77777777" w:rsidTr="00A43860">
        <w:trPr>
          <w:cantSplit/>
          <w:trHeight w:val="582"/>
        </w:trPr>
        <w:tc>
          <w:tcPr>
            <w:tcW w:w="1800" w:type="dxa"/>
            <w:vMerge w:val="restart"/>
            <w:tcBorders>
              <w:top w:val="single" w:sz="12" w:space="0" w:color="auto"/>
              <w:left w:val="single" w:sz="12" w:space="0" w:color="auto"/>
              <w:right w:val="single" w:sz="12" w:space="0" w:color="auto"/>
            </w:tcBorders>
            <w:shd w:val="clear" w:color="000000" w:fill="FFFFFF"/>
          </w:tcPr>
          <w:p w14:paraId="20DD8222"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Młodsza kohorta (15-16 lat)</w:t>
            </w:r>
          </w:p>
          <w:p w14:paraId="6CD60BD2" w14:textId="77777777" w:rsidR="001676E4" w:rsidRPr="00A43860" w:rsidRDefault="001676E4" w:rsidP="003D66E5">
            <w:pPr>
              <w:widowControl w:val="0"/>
              <w:autoSpaceDE w:val="0"/>
              <w:autoSpaceDN w:val="0"/>
              <w:adjustRightInd w:val="0"/>
              <w:spacing w:after="0"/>
              <w:rPr>
                <w:rFonts w:cs="Arial"/>
                <w:color w:val="000000"/>
                <w:sz w:val="20"/>
                <w:szCs w:val="16"/>
              </w:rPr>
            </w:pPr>
          </w:p>
        </w:tc>
        <w:tc>
          <w:tcPr>
            <w:tcW w:w="4140" w:type="dxa"/>
            <w:tcBorders>
              <w:top w:val="single" w:sz="12" w:space="0" w:color="auto"/>
              <w:left w:val="single" w:sz="12" w:space="0" w:color="auto"/>
              <w:right w:val="single" w:sz="12" w:space="0" w:color="auto"/>
            </w:tcBorders>
            <w:shd w:val="clear" w:color="000000" w:fill="FFFFFF"/>
            <w:vAlign w:val="center"/>
          </w:tcPr>
          <w:p w14:paraId="6A905D57"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Potrzeba stawiania coraz większych pieniędzy</w:t>
            </w:r>
          </w:p>
        </w:tc>
        <w:tc>
          <w:tcPr>
            <w:tcW w:w="1857" w:type="dxa"/>
            <w:tcBorders>
              <w:top w:val="single" w:sz="12" w:space="0" w:color="auto"/>
              <w:right w:val="single" w:sz="12" w:space="0" w:color="auto"/>
            </w:tcBorders>
            <w:shd w:val="clear" w:color="000000" w:fill="FFFFFF"/>
            <w:vAlign w:val="center"/>
          </w:tcPr>
          <w:p w14:paraId="3F59BBBB" w14:textId="77777777" w:rsidR="001676E4" w:rsidRPr="00A43860" w:rsidRDefault="001676E4" w:rsidP="003D66E5">
            <w:pPr>
              <w:spacing w:after="0"/>
              <w:jc w:val="right"/>
              <w:rPr>
                <w:rFonts w:cs="Arial"/>
                <w:b/>
                <w:bCs/>
                <w:color w:val="000000"/>
                <w:sz w:val="20"/>
                <w:szCs w:val="16"/>
              </w:rPr>
            </w:pPr>
            <w:r w:rsidRPr="00A43860">
              <w:rPr>
                <w:rFonts w:cs="Arial"/>
                <w:b/>
                <w:bCs/>
                <w:color w:val="000000"/>
                <w:sz w:val="20"/>
                <w:szCs w:val="16"/>
              </w:rPr>
              <w:t>10,2</w:t>
            </w:r>
          </w:p>
        </w:tc>
        <w:tc>
          <w:tcPr>
            <w:tcW w:w="1701" w:type="dxa"/>
            <w:tcBorders>
              <w:top w:val="single" w:sz="12" w:space="0" w:color="auto"/>
              <w:right w:val="single" w:sz="12" w:space="0" w:color="auto"/>
            </w:tcBorders>
            <w:shd w:val="clear" w:color="000000" w:fill="FFFFFF"/>
            <w:vAlign w:val="center"/>
          </w:tcPr>
          <w:p w14:paraId="7083C8B3" w14:textId="77777777" w:rsidR="001676E4" w:rsidRPr="00A43860" w:rsidRDefault="001676E4" w:rsidP="003D66E5">
            <w:pPr>
              <w:spacing w:after="0"/>
              <w:jc w:val="right"/>
              <w:rPr>
                <w:rFonts w:cs="Arial"/>
                <w:color w:val="000000"/>
                <w:sz w:val="20"/>
                <w:szCs w:val="16"/>
              </w:rPr>
            </w:pPr>
            <w:r w:rsidRPr="00A43860">
              <w:rPr>
                <w:rFonts w:cs="Arial"/>
                <w:color w:val="000000"/>
                <w:sz w:val="20"/>
                <w:szCs w:val="16"/>
              </w:rPr>
              <w:t>9,0</w:t>
            </w:r>
          </w:p>
        </w:tc>
      </w:tr>
      <w:tr w:rsidR="001676E4" w:rsidRPr="00A43860" w14:paraId="0AA12471" w14:textId="77777777" w:rsidTr="00A43860">
        <w:trPr>
          <w:cantSplit/>
          <w:trHeight w:val="401"/>
        </w:trPr>
        <w:tc>
          <w:tcPr>
            <w:tcW w:w="1800" w:type="dxa"/>
            <w:vMerge/>
            <w:tcBorders>
              <w:left w:val="single" w:sz="12" w:space="0" w:color="auto"/>
              <w:bottom w:val="single" w:sz="12" w:space="0" w:color="auto"/>
              <w:right w:val="single" w:sz="12" w:space="0" w:color="auto"/>
            </w:tcBorders>
            <w:shd w:val="clear" w:color="000000" w:fill="FFFFFF"/>
          </w:tcPr>
          <w:p w14:paraId="3C6C9344" w14:textId="77777777" w:rsidR="001676E4" w:rsidRPr="00A43860" w:rsidRDefault="001676E4" w:rsidP="003D66E5">
            <w:pPr>
              <w:widowControl w:val="0"/>
              <w:autoSpaceDE w:val="0"/>
              <w:autoSpaceDN w:val="0"/>
              <w:adjustRightInd w:val="0"/>
              <w:spacing w:after="0"/>
              <w:rPr>
                <w:rFonts w:cs="Arial"/>
                <w:color w:val="000000"/>
                <w:sz w:val="20"/>
                <w:szCs w:val="16"/>
              </w:rPr>
            </w:pPr>
          </w:p>
        </w:tc>
        <w:tc>
          <w:tcPr>
            <w:tcW w:w="4140" w:type="dxa"/>
            <w:tcBorders>
              <w:left w:val="single" w:sz="12" w:space="0" w:color="auto"/>
              <w:bottom w:val="single" w:sz="12" w:space="0" w:color="auto"/>
              <w:right w:val="single" w:sz="12" w:space="0" w:color="auto"/>
            </w:tcBorders>
            <w:shd w:val="clear" w:color="000000" w:fill="FFFFFF"/>
            <w:vAlign w:val="center"/>
          </w:tcPr>
          <w:p w14:paraId="2C5A74EA"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 xml:space="preserve">Kłamanie w sprawie tego, jak wiele się gra </w:t>
            </w:r>
          </w:p>
        </w:tc>
        <w:tc>
          <w:tcPr>
            <w:tcW w:w="1857" w:type="dxa"/>
            <w:tcBorders>
              <w:bottom w:val="single" w:sz="12" w:space="0" w:color="auto"/>
              <w:right w:val="single" w:sz="12" w:space="0" w:color="auto"/>
            </w:tcBorders>
            <w:shd w:val="clear" w:color="000000" w:fill="FFFFFF"/>
            <w:vAlign w:val="center"/>
          </w:tcPr>
          <w:p w14:paraId="25440D5A" w14:textId="77777777" w:rsidR="001676E4" w:rsidRPr="00A43860" w:rsidRDefault="001676E4" w:rsidP="003D66E5">
            <w:pPr>
              <w:spacing w:after="0"/>
              <w:jc w:val="right"/>
              <w:rPr>
                <w:rFonts w:cs="Arial"/>
                <w:color w:val="000000"/>
                <w:sz w:val="20"/>
                <w:szCs w:val="16"/>
              </w:rPr>
            </w:pPr>
            <w:r w:rsidRPr="00A43860">
              <w:rPr>
                <w:rFonts w:cs="Arial"/>
                <w:color w:val="000000"/>
                <w:sz w:val="20"/>
                <w:szCs w:val="16"/>
              </w:rPr>
              <w:t>4,5</w:t>
            </w:r>
          </w:p>
        </w:tc>
        <w:tc>
          <w:tcPr>
            <w:tcW w:w="1701" w:type="dxa"/>
            <w:tcBorders>
              <w:bottom w:val="single" w:sz="12" w:space="0" w:color="auto"/>
              <w:right w:val="single" w:sz="12" w:space="0" w:color="auto"/>
            </w:tcBorders>
            <w:shd w:val="clear" w:color="000000" w:fill="FFFFFF"/>
            <w:vAlign w:val="center"/>
          </w:tcPr>
          <w:p w14:paraId="3EC0EF17" w14:textId="77777777" w:rsidR="001676E4" w:rsidRPr="00A43860" w:rsidRDefault="001676E4" w:rsidP="003D66E5">
            <w:pPr>
              <w:spacing w:after="0"/>
              <w:jc w:val="right"/>
              <w:rPr>
                <w:rFonts w:cs="Arial"/>
                <w:color w:val="000000"/>
                <w:sz w:val="20"/>
                <w:szCs w:val="16"/>
              </w:rPr>
            </w:pPr>
            <w:r w:rsidRPr="00A43860">
              <w:rPr>
                <w:rFonts w:cs="Arial"/>
                <w:color w:val="000000"/>
                <w:sz w:val="20"/>
                <w:szCs w:val="16"/>
              </w:rPr>
              <w:t>4,2</w:t>
            </w:r>
          </w:p>
        </w:tc>
      </w:tr>
      <w:tr w:rsidR="001676E4" w:rsidRPr="00A43860" w14:paraId="538E3EF1" w14:textId="77777777" w:rsidTr="00A43860">
        <w:trPr>
          <w:cantSplit/>
          <w:trHeight w:val="540"/>
        </w:trPr>
        <w:tc>
          <w:tcPr>
            <w:tcW w:w="1800" w:type="dxa"/>
            <w:vMerge w:val="restart"/>
            <w:tcBorders>
              <w:top w:val="single" w:sz="12" w:space="0" w:color="auto"/>
              <w:left w:val="single" w:sz="12" w:space="0" w:color="auto"/>
              <w:right w:val="single" w:sz="12" w:space="0" w:color="auto"/>
            </w:tcBorders>
            <w:shd w:val="clear" w:color="000000" w:fill="FFFFFF"/>
          </w:tcPr>
          <w:p w14:paraId="62FFC9C8"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Starsza kohorta (17-18 lat)</w:t>
            </w:r>
          </w:p>
          <w:p w14:paraId="09ECE97B"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 xml:space="preserve"> </w:t>
            </w:r>
          </w:p>
        </w:tc>
        <w:tc>
          <w:tcPr>
            <w:tcW w:w="4140" w:type="dxa"/>
            <w:tcBorders>
              <w:top w:val="single" w:sz="12" w:space="0" w:color="auto"/>
              <w:left w:val="single" w:sz="12" w:space="0" w:color="auto"/>
              <w:right w:val="single" w:sz="12" w:space="0" w:color="auto"/>
            </w:tcBorders>
            <w:shd w:val="clear" w:color="000000" w:fill="FFFFFF"/>
            <w:vAlign w:val="center"/>
          </w:tcPr>
          <w:p w14:paraId="60C5D5C5"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Potrzeba stawiania coraz większych pieniędzy</w:t>
            </w:r>
          </w:p>
        </w:tc>
        <w:tc>
          <w:tcPr>
            <w:tcW w:w="1857" w:type="dxa"/>
            <w:tcBorders>
              <w:top w:val="single" w:sz="12" w:space="0" w:color="auto"/>
              <w:right w:val="single" w:sz="12" w:space="0" w:color="auto"/>
            </w:tcBorders>
            <w:shd w:val="clear" w:color="000000" w:fill="FFFFFF"/>
            <w:vAlign w:val="center"/>
          </w:tcPr>
          <w:p w14:paraId="20A6C85A" w14:textId="77777777" w:rsidR="001676E4" w:rsidRPr="00A43860" w:rsidRDefault="001676E4" w:rsidP="003D66E5">
            <w:pPr>
              <w:spacing w:after="0"/>
              <w:jc w:val="right"/>
              <w:rPr>
                <w:rFonts w:cs="Arial"/>
                <w:b/>
                <w:bCs/>
                <w:color w:val="000000"/>
                <w:sz w:val="20"/>
                <w:szCs w:val="16"/>
              </w:rPr>
            </w:pPr>
            <w:r w:rsidRPr="00A43860">
              <w:rPr>
                <w:rFonts w:cs="Arial"/>
                <w:b/>
                <w:bCs/>
                <w:color w:val="000000"/>
                <w:sz w:val="20"/>
                <w:szCs w:val="16"/>
              </w:rPr>
              <w:t>11,6</w:t>
            </w:r>
          </w:p>
        </w:tc>
        <w:tc>
          <w:tcPr>
            <w:tcW w:w="1701" w:type="dxa"/>
            <w:tcBorders>
              <w:top w:val="single" w:sz="12" w:space="0" w:color="auto"/>
              <w:right w:val="single" w:sz="12" w:space="0" w:color="auto"/>
            </w:tcBorders>
            <w:shd w:val="clear" w:color="000000" w:fill="FFFFFF"/>
            <w:vAlign w:val="center"/>
          </w:tcPr>
          <w:p w14:paraId="3960D9BF" w14:textId="77777777" w:rsidR="001676E4" w:rsidRPr="00A43860" w:rsidRDefault="001676E4" w:rsidP="003D66E5">
            <w:pPr>
              <w:spacing w:after="0"/>
              <w:jc w:val="right"/>
              <w:rPr>
                <w:rFonts w:cs="Arial"/>
                <w:b/>
                <w:bCs/>
                <w:color w:val="000000"/>
                <w:sz w:val="20"/>
                <w:szCs w:val="16"/>
              </w:rPr>
            </w:pPr>
            <w:r w:rsidRPr="00A43860">
              <w:rPr>
                <w:rFonts w:cs="Arial"/>
                <w:b/>
                <w:bCs/>
                <w:color w:val="000000"/>
                <w:sz w:val="20"/>
                <w:szCs w:val="16"/>
              </w:rPr>
              <w:t>8,9</w:t>
            </w:r>
          </w:p>
        </w:tc>
      </w:tr>
      <w:tr w:rsidR="001676E4" w:rsidRPr="00A43860" w14:paraId="6D7BA7C9" w14:textId="77777777" w:rsidTr="00A43860">
        <w:trPr>
          <w:cantSplit/>
          <w:trHeight w:val="412"/>
        </w:trPr>
        <w:tc>
          <w:tcPr>
            <w:tcW w:w="1800" w:type="dxa"/>
            <w:vMerge/>
            <w:tcBorders>
              <w:left w:val="single" w:sz="12" w:space="0" w:color="auto"/>
              <w:bottom w:val="single" w:sz="12" w:space="0" w:color="auto"/>
              <w:right w:val="single" w:sz="12" w:space="0" w:color="auto"/>
            </w:tcBorders>
            <w:shd w:val="clear" w:color="000000" w:fill="FFFFFF"/>
          </w:tcPr>
          <w:p w14:paraId="13117321" w14:textId="77777777" w:rsidR="001676E4" w:rsidRPr="00A43860" w:rsidRDefault="001676E4" w:rsidP="003D66E5">
            <w:pPr>
              <w:widowControl w:val="0"/>
              <w:autoSpaceDE w:val="0"/>
              <w:autoSpaceDN w:val="0"/>
              <w:adjustRightInd w:val="0"/>
              <w:spacing w:after="0"/>
              <w:rPr>
                <w:rFonts w:cs="Arial"/>
                <w:color w:val="000000"/>
                <w:sz w:val="20"/>
                <w:szCs w:val="16"/>
              </w:rPr>
            </w:pPr>
          </w:p>
        </w:tc>
        <w:tc>
          <w:tcPr>
            <w:tcW w:w="4140" w:type="dxa"/>
            <w:tcBorders>
              <w:left w:val="single" w:sz="12" w:space="0" w:color="auto"/>
              <w:bottom w:val="single" w:sz="12" w:space="0" w:color="auto"/>
              <w:right w:val="single" w:sz="12" w:space="0" w:color="auto"/>
            </w:tcBorders>
            <w:shd w:val="clear" w:color="000000" w:fill="FFFFFF"/>
            <w:vAlign w:val="center"/>
          </w:tcPr>
          <w:p w14:paraId="1F7A68B8" w14:textId="77777777" w:rsidR="001676E4" w:rsidRPr="00A43860" w:rsidRDefault="001676E4" w:rsidP="003D66E5">
            <w:pPr>
              <w:widowControl w:val="0"/>
              <w:autoSpaceDE w:val="0"/>
              <w:autoSpaceDN w:val="0"/>
              <w:adjustRightInd w:val="0"/>
              <w:spacing w:after="0"/>
              <w:rPr>
                <w:rFonts w:cs="Arial"/>
                <w:color w:val="000000"/>
                <w:sz w:val="20"/>
                <w:szCs w:val="16"/>
              </w:rPr>
            </w:pPr>
            <w:r w:rsidRPr="00A43860">
              <w:rPr>
                <w:rFonts w:cs="Arial"/>
                <w:color w:val="000000"/>
                <w:sz w:val="20"/>
                <w:szCs w:val="16"/>
              </w:rPr>
              <w:t xml:space="preserve">Kłamanie w sprawie tego, jak wiele się gra </w:t>
            </w:r>
          </w:p>
        </w:tc>
        <w:tc>
          <w:tcPr>
            <w:tcW w:w="1857" w:type="dxa"/>
            <w:tcBorders>
              <w:bottom w:val="single" w:sz="12" w:space="0" w:color="auto"/>
              <w:right w:val="single" w:sz="12" w:space="0" w:color="auto"/>
            </w:tcBorders>
            <w:shd w:val="clear" w:color="000000" w:fill="FFFFFF"/>
            <w:vAlign w:val="center"/>
          </w:tcPr>
          <w:p w14:paraId="3610295F" w14:textId="77777777" w:rsidR="001676E4" w:rsidRPr="00A43860" w:rsidRDefault="001676E4" w:rsidP="003D66E5">
            <w:pPr>
              <w:spacing w:after="0"/>
              <w:jc w:val="right"/>
              <w:rPr>
                <w:rFonts w:cs="Arial"/>
                <w:color w:val="000000"/>
                <w:sz w:val="20"/>
                <w:szCs w:val="16"/>
              </w:rPr>
            </w:pPr>
            <w:r w:rsidRPr="00A43860">
              <w:rPr>
                <w:rFonts w:cs="Arial"/>
                <w:color w:val="000000"/>
                <w:sz w:val="20"/>
                <w:szCs w:val="16"/>
              </w:rPr>
              <w:t>4,8</w:t>
            </w:r>
          </w:p>
        </w:tc>
        <w:tc>
          <w:tcPr>
            <w:tcW w:w="1701" w:type="dxa"/>
            <w:tcBorders>
              <w:bottom w:val="single" w:sz="12" w:space="0" w:color="auto"/>
              <w:right w:val="single" w:sz="12" w:space="0" w:color="auto"/>
            </w:tcBorders>
            <w:shd w:val="clear" w:color="000000" w:fill="FFFFFF"/>
            <w:vAlign w:val="center"/>
          </w:tcPr>
          <w:p w14:paraId="250FE2C7" w14:textId="77777777" w:rsidR="001676E4" w:rsidRPr="00A43860" w:rsidRDefault="001676E4" w:rsidP="003D66E5">
            <w:pPr>
              <w:spacing w:after="0"/>
              <w:jc w:val="right"/>
              <w:rPr>
                <w:rFonts w:cs="Arial"/>
                <w:color w:val="000000"/>
                <w:sz w:val="20"/>
                <w:szCs w:val="16"/>
              </w:rPr>
            </w:pPr>
            <w:r w:rsidRPr="00A43860">
              <w:rPr>
                <w:rFonts w:cs="Arial"/>
                <w:color w:val="000000"/>
                <w:sz w:val="20"/>
                <w:szCs w:val="16"/>
              </w:rPr>
              <w:t>3,7</w:t>
            </w:r>
          </w:p>
        </w:tc>
      </w:tr>
    </w:tbl>
    <w:p w14:paraId="3D5AEEDB" w14:textId="77777777" w:rsidR="0022273E" w:rsidRPr="0022273E" w:rsidRDefault="0022273E" w:rsidP="0022273E">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3BE0AC67" w14:textId="126A936E" w:rsidR="001676E4" w:rsidRPr="00317DE2" w:rsidRDefault="001676E4" w:rsidP="001676E4">
      <w:pPr>
        <w:pStyle w:val="luk1"/>
        <w:spacing w:line="360" w:lineRule="auto"/>
        <w:ind w:firstLine="567"/>
        <w:jc w:val="both"/>
        <w:rPr>
          <w:rFonts w:cs="Arial"/>
          <w:b w:val="0"/>
          <w:sz w:val="22"/>
          <w:szCs w:val="22"/>
        </w:rPr>
      </w:pPr>
      <w:r w:rsidRPr="005952CC">
        <w:rPr>
          <w:rFonts w:cs="Arial"/>
          <w:b w:val="0"/>
          <w:sz w:val="22"/>
          <w:szCs w:val="22"/>
        </w:rPr>
        <w:t xml:space="preserve">Rozpowszechnienie uprawiania hazardu wśród uczniów zmieniło się na przestrzeni </w:t>
      </w:r>
      <w:r w:rsidRPr="00844523">
        <w:rPr>
          <w:rFonts w:cs="Arial"/>
          <w:b w:val="0"/>
          <w:sz w:val="22"/>
          <w:szCs w:val="22"/>
        </w:rPr>
        <w:t>ostatnich</w:t>
      </w:r>
      <w:r w:rsidR="00844523">
        <w:rPr>
          <w:rFonts w:cs="Arial"/>
          <w:b w:val="0"/>
          <w:sz w:val="22"/>
          <w:szCs w:val="22"/>
        </w:rPr>
        <w:t xml:space="preserve"> 9</w:t>
      </w:r>
      <w:r w:rsidRPr="00844523">
        <w:rPr>
          <w:rFonts w:cs="Arial"/>
          <w:b w:val="0"/>
          <w:sz w:val="22"/>
          <w:szCs w:val="22"/>
        </w:rPr>
        <w:t xml:space="preserve"> lat. W przypadku jakichkolwiek doświadczeń z graniem, po spadku w 2019 roku,</w:t>
      </w:r>
      <w:r w:rsidRPr="005952CC">
        <w:rPr>
          <w:rFonts w:cs="Arial"/>
          <w:b w:val="0"/>
          <w:sz w:val="22"/>
          <w:szCs w:val="22"/>
        </w:rPr>
        <w:t xml:space="preserve"> </w:t>
      </w:r>
      <w:r w:rsidRPr="005952CC">
        <w:rPr>
          <w:rFonts w:cs="Arial"/>
          <w:b w:val="0"/>
          <w:sz w:val="22"/>
          <w:szCs w:val="22"/>
        </w:rPr>
        <w:lastRenderedPageBreak/>
        <w:t>obserwujemy wzrost 15- i 16-latków uprawiających hazard w 2024 roku. Wzrost ten jest wyraźny</w:t>
      </w:r>
      <w:r w:rsidRPr="00317DE2">
        <w:rPr>
          <w:rFonts w:cs="Arial"/>
          <w:b w:val="0"/>
          <w:sz w:val="22"/>
          <w:szCs w:val="22"/>
        </w:rPr>
        <w:t xml:space="preserve"> i wynosi około 10 punktów procentowych. W tej grupie badanych obserwuje się również wzrost odsetka grania w czasie ostatnich 12 miesięcy (także o około 10 punktów procentowych) i 30 dni przed badaniem (około 6 punktów procentowych). </w:t>
      </w:r>
    </w:p>
    <w:p w14:paraId="3542B1ED" w14:textId="3418A95F" w:rsidR="001676E4" w:rsidRPr="005952CC" w:rsidRDefault="001676E4" w:rsidP="001676E4">
      <w:pPr>
        <w:pStyle w:val="luk1"/>
        <w:spacing w:line="360" w:lineRule="auto"/>
        <w:ind w:firstLine="567"/>
        <w:jc w:val="both"/>
        <w:rPr>
          <w:rFonts w:cs="Arial"/>
          <w:b w:val="0"/>
          <w:sz w:val="22"/>
          <w:szCs w:val="22"/>
        </w:rPr>
      </w:pPr>
      <w:r w:rsidRPr="00317DE2">
        <w:rPr>
          <w:rFonts w:cs="Arial"/>
          <w:b w:val="0"/>
          <w:sz w:val="22"/>
          <w:szCs w:val="22"/>
        </w:rPr>
        <w:t>Podobne trendy można odnotować w starszej kohorcie 17-18 latkowie w każdym wymiarze czasu grali częściej niż w 2019 roku. W każdym wymiarze czasowym (kiedykolwiek w życiu, w czasie ostatnich 12 miesięcy i 30 dni przed badaniem</w:t>
      </w:r>
      <w:r w:rsidRPr="005952CC">
        <w:rPr>
          <w:rFonts w:cs="Arial"/>
          <w:b w:val="0"/>
          <w:sz w:val="22"/>
          <w:szCs w:val="22"/>
        </w:rPr>
        <w:t>), można zaobserwować ponad 10% wzrost rozpowszechnienia grania.</w:t>
      </w:r>
    </w:p>
    <w:p w14:paraId="5AB0A803" w14:textId="6962429D" w:rsidR="001676E4" w:rsidRPr="00A43860" w:rsidRDefault="001676E4" w:rsidP="001676E4">
      <w:pPr>
        <w:pStyle w:val="Legenda"/>
        <w:keepNext/>
        <w:rPr>
          <w:sz w:val="20"/>
          <w:szCs w:val="16"/>
        </w:rPr>
      </w:pPr>
      <w:bookmarkStart w:id="111" w:name="_Toc214279715"/>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30</w:t>
      </w:r>
      <w:r w:rsidRPr="00A43860">
        <w:rPr>
          <w:sz w:val="20"/>
          <w:szCs w:val="16"/>
        </w:rPr>
        <w:fldChar w:fldCharType="end"/>
      </w:r>
      <w:r w:rsidRPr="00A43860">
        <w:rPr>
          <w:sz w:val="20"/>
          <w:szCs w:val="16"/>
        </w:rPr>
        <w:t>. Granie w gry hazardowe, tj. takie gdzie stawia się pieniądze i można je wygrać.</w:t>
      </w:r>
      <w:bookmarkEnd w:id="111"/>
    </w:p>
    <w:tbl>
      <w:tblPr>
        <w:tblW w:w="92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00"/>
        <w:gridCol w:w="3587"/>
        <w:gridCol w:w="1276"/>
        <w:gridCol w:w="1275"/>
        <w:gridCol w:w="1276"/>
      </w:tblGrid>
      <w:tr w:rsidR="001676E4" w:rsidRPr="0092722E" w14:paraId="607D73A8" w14:textId="77777777" w:rsidTr="003D66E5">
        <w:trPr>
          <w:trHeight w:val="506"/>
        </w:trPr>
        <w:tc>
          <w:tcPr>
            <w:tcW w:w="180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62A6FE7"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poziom klasy</w:t>
            </w:r>
          </w:p>
        </w:tc>
        <w:tc>
          <w:tcPr>
            <w:tcW w:w="3587"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513D193"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p>
        </w:tc>
        <w:tc>
          <w:tcPr>
            <w:tcW w:w="1276" w:type="dxa"/>
            <w:tcBorders>
              <w:top w:val="single" w:sz="12" w:space="0" w:color="auto"/>
              <w:bottom w:val="single" w:sz="12" w:space="0" w:color="auto"/>
              <w:right w:val="single" w:sz="12" w:space="0" w:color="auto"/>
            </w:tcBorders>
            <w:shd w:val="clear" w:color="000000" w:fill="FFFFFF"/>
            <w:vAlign w:val="center"/>
          </w:tcPr>
          <w:p w14:paraId="445BDA61"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2015</w:t>
            </w:r>
          </w:p>
        </w:tc>
        <w:tc>
          <w:tcPr>
            <w:tcW w:w="1275" w:type="dxa"/>
            <w:tcBorders>
              <w:top w:val="single" w:sz="12" w:space="0" w:color="auto"/>
              <w:bottom w:val="single" w:sz="12" w:space="0" w:color="auto"/>
              <w:right w:val="single" w:sz="12" w:space="0" w:color="auto"/>
            </w:tcBorders>
            <w:shd w:val="clear" w:color="000000" w:fill="FFFFFF"/>
            <w:vAlign w:val="center"/>
          </w:tcPr>
          <w:p w14:paraId="12D59D3F"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2019</w:t>
            </w:r>
          </w:p>
        </w:tc>
        <w:tc>
          <w:tcPr>
            <w:tcW w:w="1276" w:type="dxa"/>
            <w:tcBorders>
              <w:top w:val="single" w:sz="12" w:space="0" w:color="auto"/>
              <w:bottom w:val="single" w:sz="12" w:space="0" w:color="auto"/>
              <w:right w:val="single" w:sz="12" w:space="0" w:color="auto"/>
            </w:tcBorders>
            <w:shd w:val="clear" w:color="000000" w:fill="FFFFFF"/>
            <w:vAlign w:val="center"/>
          </w:tcPr>
          <w:p w14:paraId="27FE43D8" w14:textId="77777777" w:rsidR="001676E4" w:rsidRPr="0092722E" w:rsidRDefault="001676E4" w:rsidP="003D66E5">
            <w:pPr>
              <w:widowControl w:val="0"/>
              <w:autoSpaceDE w:val="0"/>
              <w:autoSpaceDN w:val="0"/>
              <w:adjustRightInd w:val="0"/>
              <w:spacing w:after="0"/>
              <w:jc w:val="center"/>
              <w:rPr>
                <w:rFonts w:cs="Arial"/>
                <w:b/>
                <w:bCs/>
                <w:color w:val="000000"/>
                <w:sz w:val="18"/>
                <w:szCs w:val="18"/>
              </w:rPr>
            </w:pPr>
            <w:r w:rsidRPr="0092722E">
              <w:rPr>
                <w:rFonts w:cs="Arial"/>
                <w:b/>
                <w:bCs/>
                <w:color w:val="000000"/>
                <w:sz w:val="18"/>
                <w:szCs w:val="18"/>
              </w:rPr>
              <w:t>2024</w:t>
            </w:r>
          </w:p>
        </w:tc>
      </w:tr>
      <w:tr w:rsidR="001676E4" w:rsidRPr="005952CC" w14:paraId="205E0F44" w14:textId="77777777" w:rsidTr="003D66E5">
        <w:trPr>
          <w:cantSplit/>
          <w:trHeight w:val="734"/>
        </w:trPr>
        <w:tc>
          <w:tcPr>
            <w:tcW w:w="1800" w:type="dxa"/>
            <w:vMerge w:val="restart"/>
            <w:tcBorders>
              <w:top w:val="single" w:sz="12" w:space="0" w:color="auto"/>
              <w:left w:val="single" w:sz="12" w:space="0" w:color="auto"/>
              <w:right w:val="single" w:sz="12" w:space="0" w:color="auto"/>
            </w:tcBorders>
            <w:shd w:val="clear" w:color="000000" w:fill="FFFFFF"/>
          </w:tcPr>
          <w:p w14:paraId="47CAEB18" w14:textId="77777777" w:rsidR="001676E4" w:rsidRPr="005952CC" w:rsidRDefault="001676E4" w:rsidP="003D66E5">
            <w:pPr>
              <w:widowControl w:val="0"/>
              <w:autoSpaceDE w:val="0"/>
              <w:autoSpaceDN w:val="0"/>
              <w:adjustRightInd w:val="0"/>
              <w:spacing w:line="240" w:lineRule="atLeast"/>
              <w:rPr>
                <w:rFonts w:cs="Arial"/>
                <w:color w:val="000000"/>
                <w:sz w:val="18"/>
                <w:szCs w:val="18"/>
              </w:rPr>
            </w:pPr>
            <w:r w:rsidRPr="005952CC">
              <w:rPr>
                <w:rFonts w:cs="Arial"/>
                <w:color w:val="000000"/>
                <w:sz w:val="18"/>
                <w:szCs w:val="18"/>
              </w:rPr>
              <w:t>Młodsza kohorta (15-16 lat)</w:t>
            </w:r>
          </w:p>
          <w:p w14:paraId="4EA9C33F" w14:textId="77777777" w:rsidR="001676E4" w:rsidRPr="005952CC" w:rsidRDefault="001676E4" w:rsidP="003D66E5">
            <w:pPr>
              <w:widowControl w:val="0"/>
              <w:autoSpaceDE w:val="0"/>
              <w:autoSpaceDN w:val="0"/>
              <w:adjustRightInd w:val="0"/>
              <w:rPr>
                <w:rFonts w:cs="Arial"/>
                <w:color w:val="000000"/>
                <w:sz w:val="18"/>
                <w:szCs w:val="18"/>
              </w:rPr>
            </w:pPr>
          </w:p>
        </w:tc>
        <w:tc>
          <w:tcPr>
            <w:tcW w:w="3587" w:type="dxa"/>
            <w:tcBorders>
              <w:top w:val="single" w:sz="12" w:space="0" w:color="auto"/>
              <w:left w:val="single" w:sz="12" w:space="0" w:color="auto"/>
              <w:right w:val="single" w:sz="12" w:space="0" w:color="auto"/>
            </w:tcBorders>
            <w:shd w:val="clear" w:color="000000" w:fill="FFFFFF"/>
            <w:vAlign w:val="center"/>
          </w:tcPr>
          <w:p w14:paraId="61B42552"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Kiedykolwiek w życiu</w:t>
            </w:r>
          </w:p>
        </w:tc>
        <w:tc>
          <w:tcPr>
            <w:tcW w:w="1276" w:type="dxa"/>
            <w:tcBorders>
              <w:top w:val="single" w:sz="12" w:space="0" w:color="auto"/>
              <w:right w:val="single" w:sz="12" w:space="0" w:color="auto"/>
            </w:tcBorders>
            <w:shd w:val="clear" w:color="000000" w:fill="FFFFFF"/>
            <w:vAlign w:val="center"/>
          </w:tcPr>
          <w:p w14:paraId="5708A809" w14:textId="77777777" w:rsidR="001676E4" w:rsidRPr="005952CC" w:rsidRDefault="001676E4" w:rsidP="003D66E5">
            <w:pPr>
              <w:jc w:val="right"/>
              <w:rPr>
                <w:rFonts w:cs="Arial"/>
                <w:b/>
                <w:bCs/>
                <w:color w:val="000000"/>
                <w:sz w:val="18"/>
                <w:szCs w:val="18"/>
              </w:rPr>
            </w:pPr>
            <w:r w:rsidRPr="005952CC">
              <w:rPr>
                <w:rFonts w:cs="Arial"/>
                <w:b/>
                <w:bCs/>
                <w:color w:val="000000"/>
                <w:sz w:val="18"/>
                <w:szCs w:val="18"/>
              </w:rPr>
              <w:t>19,2</w:t>
            </w:r>
          </w:p>
        </w:tc>
        <w:tc>
          <w:tcPr>
            <w:tcW w:w="1275" w:type="dxa"/>
            <w:tcBorders>
              <w:top w:val="single" w:sz="12" w:space="0" w:color="auto"/>
              <w:right w:val="single" w:sz="12" w:space="0" w:color="auto"/>
            </w:tcBorders>
            <w:shd w:val="clear" w:color="000000" w:fill="FFFFFF"/>
            <w:vAlign w:val="center"/>
          </w:tcPr>
          <w:p w14:paraId="022334AB" w14:textId="77777777" w:rsidR="001676E4" w:rsidRPr="005952CC" w:rsidRDefault="001676E4" w:rsidP="003D66E5">
            <w:pPr>
              <w:jc w:val="right"/>
              <w:rPr>
                <w:rFonts w:cs="Arial"/>
                <w:color w:val="000000"/>
                <w:sz w:val="18"/>
                <w:szCs w:val="18"/>
              </w:rPr>
            </w:pPr>
            <w:r w:rsidRPr="005952CC">
              <w:rPr>
                <w:rFonts w:cs="Arial"/>
                <w:color w:val="000000"/>
                <w:sz w:val="18"/>
                <w:szCs w:val="18"/>
              </w:rPr>
              <w:t>16,5</w:t>
            </w:r>
          </w:p>
        </w:tc>
        <w:tc>
          <w:tcPr>
            <w:tcW w:w="1276" w:type="dxa"/>
            <w:tcBorders>
              <w:top w:val="single" w:sz="12" w:space="0" w:color="auto"/>
              <w:right w:val="single" w:sz="12" w:space="0" w:color="auto"/>
            </w:tcBorders>
            <w:shd w:val="clear" w:color="000000" w:fill="FFFFFF"/>
            <w:vAlign w:val="center"/>
          </w:tcPr>
          <w:p w14:paraId="1BA83DF8" w14:textId="77777777" w:rsidR="001676E4" w:rsidRPr="005952CC" w:rsidRDefault="001676E4" w:rsidP="003D66E5">
            <w:pPr>
              <w:jc w:val="right"/>
              <w:rPr>
                <w:rFonts w:cs="Arial"/>
                <w:b/>
                <w:bCs/>
                <w:color w:val="000000"/>
                <w:sz w:val="18"/>
                <w:szCs w:val="18"/>
              </w:rPr>
            </w:pPr>
            <w:r w:rsidRPr="005952CC">
              <w:rPr>
                <w:rFonts w:cs="Arial"/>
                <w:b/>
                <w:bCs/>
                <w:color w:val="000000"/>
                <w:sz w:val="18"/>
                <w:szCs w:val="18"/>
              </w:rPr>
              <w:t>26,8</w:t>
            </w:r>
          </w:p>
        </w:tc>
      </w:tr>
      <w:tr w:rsidR="001676E4" w:rsidRPr="005952CC" w14:paraId="14415A71" w14:textId="77777777" w:rsidTr="003D66E5">
        <w:trPr>
          <w:cantSplit/>
          <w:trHeight w:val="734"/>
        </w:trPr>
        <w:tc>
          <w:tcPr>
            <w:tcW w:w="1800" w:type="dxa"/>
            <w:vMerge/>
            <w:tcBorders>
              <w:left w:val="single" w:sz="12" w:space="0" w:color="auto"/>
              <w:right w:val="single" w:sz="12" w:space="0" w:color="auto"/>
            </w:tcBorders>
            <w:shd w:val="clear" w:color="000000" w:fill="FFFFFF"/>
          </w:tcPr>
          <w:p w14:paraId="537C68B6" w14:textId="77777777" w:rsidR="001676E4" w:rsidRPr="005952CC" w:rsidRDefault="001676E4" w:rsidP="003D66E5">
            <w:pPr>
              <w:widowControl w:val="0"/>
              <w:autoSpaceDE w:val="0"/>
              <w:autoSpaceDN w:val="0"/>
              <w:adjustRightInd w:val="0"/>
              <w:rPr>
                <w:rFonts w:cs="Arial"/>
                <w:color w:val="000000"/>
                <w:sz w:val="18"/>
                <w:szCs w:val="18"/>
              </w:rPr>
            </w:pPr>
          </w:p>
        </w:tc>
        <w:tc>
          <w:tcPr>
            <w:tcW w:w="3587" w:type="dxa"/>
            <w:tcBorders>
              <w:left w:val="single" w:sz="12" w:space="0" w:color="auto"/>
              <w:right w:val="single" w:sz="12" w:space="0" w:color="auto"/>
            </w:tcBorders>
            <w:shd w:val="clear" w:color="000000" w:fill="FFFFFF"/>
            <w:vAlign w:val="center"/>
          </w:tcPr>
          <w:p w14:paraId="66C9F31E"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W czasie 12 miesięcy przed badaniem</w:t>
            </w:r>
          </w:p>
        </w:tc>
        <w:tc>
          <w:tcPr>
            <w:tcW w:w="1276" w:type="dxa"/>
            <w:tcBorders>
              <w:right w:val="single" w:sz="12" w:space="0" w:color="auto"/>
            </w:tcBorders>
            <w:shd w:val="clear" w:color="000000" w:fill="FFFFFF"/>
            <w:vAlign w:val="center"/>
          </w:tcPr>
          <w:p w14:paraId="6C80C067" w14:textId="77777777" w:rsidR="001676E4" w:rsidRPr="005952CC" w:rsidRDefault="001676E4" w:rsidP="003D66E5">
            <w:pPr>
              <w:jc w:val="right"/>
              <w:rPr>
                <w:rFonts w:cs="Arial"/>
                <w:color w:val="000000"/>
                <w:sz w:val="18"/>
                <w:szCs w:val="18"/>
              </w:rPr>
            </w:pPr>
            <w:r w:rsidRPr="005952CC">
              <w:rPr>
                <w:rFonts w:cs="Arial"/>
                <w:color w:val="000000"/>
                <w:sz w:val="18"/>
                <w:szCs w:val="18"/>
              </w:rPr>
              <w:t>11,2</w:t>
            </w:r>
          </w:p>
        </w:tc>
        <w:tc>
          <w:tcPr>
            <w:tcW w:w="1275" w:type="dxa"/>
            <w:tcBorders>
              <w:right w:val="single" w:sz="12" w:space="0" w:color="auto"/>
            </w:tcBorders>
            <w:shd w:val="clear" w:color="000000" w:fill="FFFFFF"/>
            <w:vAlign w:val="center"/>
          </w:tcPr>
          <w:p w14:paraId="22622EF3" w14:textId="77777777" w:rsidR="001676E4" w:rsidRPr="005952CC" w:rsidRDefault="001676E4" w:rsidP="003D66E5">
            <w:pPr>
              <w:jc w:val="right"/>
              <w:rPr>
                <w:rFonts w:cs="Arial"/>
                <w:color w:val="000000"/>
                <w:sz w:val="18"/>
                <w:szCs w:val="18"/>
              </w:rPr>
            </w:pPr>
            <w:r w:rsidRPr="005952CC">
              <w:rPr>
                <w:rFonts w:cs="Arial"/>
                <w:color w:val="000000"/>
                <w:sz w:val="18"/>
                <w:szCs w:val="18"/>
              </w:rPr>
              <w:t>9,2</w:t>
            </w:r>
          </w:p>
        </w:tc>
        <w:tc>
          <w:tcPr>
            <w:tcW w:w="1276" w:type="dxa"/>
            <w:tcBorders>
              <w:right w:val="single" w:sz="12" w:space="0" w:color="auto"/>
            </w:tcBorders>
            <w:shd w:val="clear" w:color="000000" w:fill="FFFFFF"/>
            <w:vAlign w:val="center"/>
          </w:tcPr>
          <w:p w14:paraId="2BAFD9C0" w14:textId="77777777" w:rsidR="001676E4" w:rsidRPr="005952CC" w:rsidRDefault="001676E4" w:rsidP="003D66E5">
            <w:pPr>
              <w:jc w:val="right"/>
              <w:rPr>
                <w:rFonts w:cs="Arial"/>
                <w:color w:val="000000"/>
                <w:sz w:val="18"/>
                <w:szCs w:val="18"/>
              </w:rPr>
            </w:pPr>
            <w:r w:rsidRPr="005952CC">
              <w:rPr>
                <w:rFonts w:cs="Arial"/>
                <w:color w:val="000000"/>
                <w:sz w:val="18"/>
                <w:szCs w:val="18"/>
              </w:rPr>
              <w:t>21,6</w:t>
            </w:r>
          </w:p>
        </w:tc>
      </w:tr>
      <w:tr w:rsidR="001676E4" w:rsidRPr="005952CC" w14:paraId="701B2529" w14:textId="77777777" w:rsidTr="003D66E5">
        <w:trPr>
          <w:cantSplit/>
          <w:trHeight w:val="734"/>
        </w:trPr>
        <w:tc>
          <w:tcPr>
            <w:tcW w:w="1800" w:type="dxa"/>
            <w:vMerge/>
            <w:tcBorders>
              <w:left w:val="single" w:sz="12" w:space="0" w:color="auto"/>
              <w:bottom w:val="single" w:sz="12" w:space="0" w:color="auto"/>
              <w:right w:val="single" w:sz="12" w:space="0" w:color="auto"/>
            </w:tcBorders>
            <w:shd w:val="clear" w:color="000000" w:fill="FFFFFF"/>
          </w:tcPr>
          <w:p w14:paraId="2A3763AA" w14:textId="77777777" w:rsidR="001676E4" w:rsidRPr="005952CC" w:rsidRDefault="001676E4" w:rsidP="003D66E5">
            <w:pPr>
              <w:widowControl w:val="0"/>
              <w:autoSpaceDE w:val="0"/>
              <w:autoSpaceDN w:val="0"/>
              <w:adjustRightInd w:val="0"/>
              <w:rPr>
                <w:rFonts w:cs="Arial"/>
                <w:color w:val="000000"/>
                <w:sz w:val="18"/>
                <w:szCs w:val="18"/>
              </w:rPr>
            </w:pPr>
          </w:p>
        </w:tc>
        <w:tc>
          <w:tcPr>
            <w:tcW w:w="3587" w:type="dxa"/>
            <w:tcBorders>
              <w:left w:val="single" w:sz="12" w:space="0" w:color="auto"/>
              <w:bottom w:val="single" w:sz="12" w:space="0" w:color="auto"/>
              <w:right w:val="single" w:sz="12" w:space="0" w:color="auto"/>
            </w:tcBorders>
            <w:shd w:val="clear" w:color="000000" w:fill="FFFFFF"/>
            <w:vAlign w:val="center"/>
          </w:tcPr>
          <w:p w14:paraId="29F73698"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W czasie 30 dni przed badaniem</w:t>
            </w:r>
          </w:p>
        </w:tc>
        <w:tc>
          <w:tcPr>
            <w:tcW w:w="1276" w:type="dxa"/>
            <w:tcBorders>
              <w:bottom w:val="single" w:sz="12" w:space="0" w:color="auto"/>
              <w:right w:val="single" w:sz="12" w:space="0" w:color="auto"/>
            </w:tcBorders>
            <w:shd w:val="clear" w:color="000000" w:fill="FFFFFF"/>
            <w:vAlign w:val="center"/>
          </w:tcPr>
          <w:p w14:paraId="0BF623CA" w14:textId="77777777" w:rsidR="001676E4" w:rsidRPr="005952CC" w:rsidRDefault="001676E4" w:rsidP="003D66E5">
            <w:pPr>
              <w:jc w:val="right"/>
              <w:rPr>
                <w:rFonts w:cs="Arial"/>
                <w:color w:val="000000"/>
                <w:sz w:val="18"/>
                <w:szCs w:val="18"/>
              </w:rPr>
            </w:pPr>
            <w:r w:rsidRPr="005952CC">
              <w:rPr>
                <w:rFonts w:cs="Arial"/>
                <w:color w:val="000000"/>
                <w:sz w:val="18"/>
                <w:szCs w:val="18"/>
              </w:rPr>
              <w:t>7,6</w:t>
            </w:r>
          </w:p>
        </w:tc>
        <w:tc>
          <w:tcPr>
            <w:tcW w:w="1275" w:type="dxa"/>
            <w:tcBorders>
              <w:bottom w:val="single" w:sz="12" w:space="0" w:color="auto"/>
              <w:right w:val="single" w:sz="12" w:space="0" w:color="auto"/>
            </w:tcBorders>
            <w:shd w:val="clear" w:color="000000" w:fill="FFFFFF"/>
            <w:vAlign w:val="center"/>
          </w:tcPr>
          <w:p w14:paraId="7CC7A331" w14:textId="77777777" w:rsidR="001676E4" w:rsidRPr="005952CC" w:rsidRDefault="001676E4" w:rsidP="003D66E5">
            <w:pPr>
              <w:jc w:val="right"/>
              <w:rPr>
                <w:rFonts w:cs="Arial"/>
                <w:color w:val="000000"/>
                <w:sz w:val="18"/>
                <w:szCs w:val="18"/>
              </w:rPr>
            </w:pPr>
            <w:r w:rsidRPr="005952CC">
              <w:rPr>
                <w:rFonts w:cs="Arial"/>
                <w:color w:val="000000"/>
                <w:sz w:val="18"/>
                <w:szCs w:val="18"/>
              </w:rPr>
              <w:t>5,5</w:t>
            </w:r>
          </w:p>
        </w:tc>
        <w:tc>
          <w:tcPr>
            <w:tcW w:w="1276" w:type="dxa"/>
            <w:tcBorders>
              <w:bottom w:val="single" w:sz="12" w:space="0" w:color="auto"/>
              <w:right w:val="single" w:sz="12" w:space="0" w:color="auto"/>
            </w:tcBorders>
            <w:shd w:val="clear" w:color="000000" w:fill="FFFFFF"/>
            <w:vAlign w:val="center"/>
          </w:tcPr>
          <w:p w14:paraId="11CC9274" w14:textId="77777777" w:rsidR="001676E4" w:rsidRPr="005952CC" w:rsidRDefault="001676E4" w:rsidP="003D66E5">
            <w:pPr>
              <w:jc w:val="right"/>
              <w:rPr>
                <w:rFonts w:cs="Arial"/>
                <w:color w:val="000000"/>
                <w:sz w:val="18"/>
                <w:szCs w:val="18"/>
              </w:rPr>
            </w:pPr>
            <w:r w:rsidRPr="005952CC">
              <w:rPr>
                <w:rFonts w:cs="Arial"/>
                <w:color w:val="000000"/>
                <w:sz w:val="18"/>
                <w:szCs w:val="18"/>
              </w:rPr>
              <w:t>12,1</w:t>
            </w:r>
          </w:p>
        </w:tc>
      </w:tr>
      <w:tr w:rsidR="001676E4" w:rsidRPr="005952CC" w14:paraId="6DCBDDE2" w14:textId="77777777" w:rsidTr="003D66E5">
        <w:trPr>
          <w:cantSplit/>
          <w:trHeight w:val="734"/>
        </w:trPr>
        <w:tc>
          <w:tcPr>
            <w:tcW w:w="1800" w:type="dxa"/>
            <w:vMerge w:val="restart"/>
            <w:tcBorders>
              <w:top w:val="single" w:sz="12" w:space="0" w:color="auto"/>
              <w:left w:val="single" w:sz="12" w:space="0" w:color="auto"/>
              <w:right w:val="single" w:sz="12" w:space="0" w:color="auto"/>
            </w:tcBorders>
            <w:shd w:val="clear" w:color="000000" w:fill="FFFFFF"/>
          </w:tcPr>
          <w:p w14:paraId="5C6D7880"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Starsza kohorta (17-18 lat)</w:t>
            </w:r>
          </w:p>
        </w:tc>
        <w:tc>
          <w:tcPr>
            <w:tcW w:w="3587" w:type="dxa"/>
            <w:tcBorders>
              <w:top w:val="single" w:sz="12" w:space="0" w:color="auto"/>
              <w:left w:val="single" w:sz="12" w:space="0" w:color="auto"/>
              <w:right w:val="single" w:sz="12" w:space="0" w:color="auto"/>
            </w:tcBorders>
            <w:shd w:val="clear" w:color="000000" w:fill="FFFFFF"/>
            <w:vAlign w:val="center"/>
          </w:tcPr>
          <w:p w14:paraId="6EB4A1D6"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Kiedykolwiek w życiu</w:t>
            </w:r>
          </w:p>
        </w:tc>
        <w:tc>
          <w:tcPr>
            <w:tcW w:w="1276" w:type="dxa"/>
            <w:tcBorders>
              <w:top w:val="single" w:sz="12" w:space="0" w:color="auto"/>
              <w:right w:val="single" w:sz="12" w:space="0" w:color="auto"/>
            </w:tcBorders>
            <w:shd w:val="clear" w:color="000000" w:fill="FFFFFF"/>
            <w:vAlign w:val="center"/>
          </w:tcPr>
          <w:p w14:paraId="22B178B1" w14:textId="77777777" w:rsidR="001676E4" w:rsidRPr="005952CC" w:rsidRDefault="001676E4" w:rsidP="003D66E5">
            <w:pPr>
              <w:jc w:val="right"/>
              <w:rPr>
                <w:rFonts w:cs="Arial"/>
                <w:b/>
                <w:bCs/>
                <w:color w:val="000000"/>
                <w:sz w:val="18"/>
                <w:szCs w:val="18"/>
              </w:rPr>
            </w:pPr>
            <w:r w:rsidRPr="005952CC">
              <w:rPr>
                <w:rFonts w:cs="Arial"/>
                <w:b/>
                <w:bCs/>
                <w:color w:val="000000"/>
                <w:sz w:val="18"/>
                <w:szCs w:val="18"/>
              </w:rPr>
              <w:t>25,6</w:t>
            </w:r>
          </w:p>
        </w:tc>
        <w:tc>
          <w:tcPr>
            <w:tcW w:w="1275" w:type="dxa"/>
            <w:tcBorders>
              <w:top w:val="single" w:sz="12" w:space="0" w:color="auto"/>
              <w:right w:val="single" w:sz="12" w:space="0" w:color="auto"/>
            </w:tcBorders>
            <w:shd w:val="clear" w:color="000000" w:fill="FFFFFF"/>
            <w:vAlign w:val="center"/>
          </w:tcPr>
          <w:p w14:paraId="0D6FF226" w14:textId="77777777" w:rsidR="001676E4" w:rsidRPr="005952CC" w:rsidRDefault="001676E4" w:rsidP="003D66E5">
            <w:pPr>
              <w:jc w:val="right"/>
              <w:rPr>
                <w:rFonts w:cs="Arial"/>
                <w:color w:val="000000"/>
                <w:sz w:val="18"/>
                <w:szCs w:val="18"/>
              </w:rPr>
            </w:pPr>
            <w:r w:rsidRPr="005952CC">
              <w:rPr>
                <w:rFonts w:cs="Arial"/>
                <w:color w:val="000000"/>
                <w:sz w:val="18"/>
                <w:szCs w:val="18"/>
              </w:rPr>
              <w:t>19,3</w:t>
            </w:r>
          </w:p>
        </w:tc>
        <w:tc>
          <w:tcPr>
            <w:tcW w:w="1276" w:type="dxa"/>
            <w:tcBorders>
              <w:top w:val="single" w:sz="12" w:space="0" w:color="auto"/>
              <w:right w:val="single" w:sz="12" w:space="0" w:color="auto"/>
            </w:tcBorders>
            <w:shd w:val="clear" w:color="000000" w:fill="FFFFFF"/>
            <w:vAlign w:val="center"/>
          </w:tcPr>
          <w:p w14:paraId="1AA95919" w14:textId="77777777" w:rsidR="001676E4" w:rsidRPr="005952CC" w:rsidRDefault="001676E4" w:rsidP="003D66E5">
            <w:pPr>
              <w:jc w:val="right"/>
              <w:rPr>
                <w:rFonts w:cs="Arial"/>
                <w:b/>
                <w:bCs/>
                <w:color w:val="000000"/>
                <w:sz w:val="18"/>
                <w:szCs w:val="18"/>
              </w:rPr>
            </w:pPr>
            <w:r w:rsidRPr="005952CC">
              <w:rPr>
                <w:rFonts w:cs="Arial"/>
                <w:b/>
                <w:bCs/>
                <w:color w:val="000000"/>
                <w:sz w:val="18"/>
                <w:szCs w:val="18"/>
              </w:rPr>
              <w:t>31,1</w:t>
            </w:r>
          </w:p>
        </w:tc>
      </w:tr>
      <w:tr w:rsidR="001676E4" w:rsidRPr="005952CC" w14:paraId="5E50633D" w14:textId="77777777" w:rsidTr="003D66E5">
        <w:trPr>
          <w:cantSplit/>
          <w:trHeight w:val="734"/>
        </w:trPr>
        <w:tc>
          <w:tcPr>
            <w:tcW w:w="1800" w:type="dxa"/>
            <w:vMerge/>
            <w:tcBorders>
              <w:left w:val="single" w:sz="12" w:space="0" w:color="auto"/>
              <w:right w:val="single" w:sz="12" w:space="0" w:color="auto"/>
            </w:tcBorders>
            <w:shd w:val="clear" w:color="000000" w:fill="FFFFFF"/>
          </w:tcPr>
          <w:p w14:paraId="410C2415" w14:textId="77777777" w:rsidR="001676E4" w:rsidRPr="005952CC" w:rsidRDefault="001676E4" w:rsidP="003D66E5">
            <w:pPr>
              <w:widowControl w:val="0"/>
              <w:autoSpaceDE w:val="0"/>
              <w:autoSpaceDN w:val="0"/>
              <w:adjustRightInd w:val="0"/>
              <w:rPr>
                <w:rFonts w:cs="Arial"/>
                <w:color w:val="000000"/>
                <w:sz w:val="18"/>
                <w:szCs w:val="18"/>
              </w:rPr>
            </w:pPr>
          </w:p>
        </w:tc>
        <w:tc>
          <w:tcPr>
            <w:tcW w:w="3587" w:type="dxa"/>
            <w:tcBorders>
              <w:left w:val="single" w:sz="12" w:space="0" w:color="auto"/>
              <w:right w:val="single" w:sz="12" w:space="0" w:color="auto"/>
            </w:tcBorders>
            <w:shd w:val="clear" w:color="000000" w:fill="FFFFFF"/>
            <w:vAlign w:val="center"/>
          </w:tcPr>
          <w:p w14:paraId="09D11293"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W czasie 12 miesięcy przed badaniem</w:t>
            </w:r>
          </w:p>
        </w:tc>
        <w:tc>
          <w:tcPr>
            <w:tcW w:w="1276" w:type="dxa"/>
            <w:tcBorders>
              <w:right w:val="single" w:sz="12" w:space="0" w:color="auto"/>
            </w:tcBorders>
            <w:shd w:val="clear" w:color="000000" w:fill="FFFFFF"/>
            <w:vAlign w:val="center"/>
          </w:tcPr>
          <w:p w14:paraId="34C235D2" w14:textId="77777777" w:rsidR="001676E4" w:rsidRPr="005952CC" w:rsidRDefault="001676E4" w:rsidP="003D66E5">
            <w:pPr>
              <w:jc w:val="right"/>
              <w:rPr>
                <w:rFonts w:cs="Arial"/>
                <w:color w:val="000000"/>
                <w:sz w:val="18"/>
                <w:szCs w:val="18"/>
              </w:rPr>
            </w:pPr>
            <w:r w:rsidRPr="005952CC">
              <w:rPr>
                <w:rFonts w:cs="Arial"/>
                <w:color w:val="000000"/>
                <w:sz w:val="18"/>
                <w:szCs w:val="18"/>
              </w:rPr>
              <w:t>17,2</w:t>
            </w:r>
          </w:p>
        </w:tc>
        <w:tc>
          <w:tcPr>
            <w:tcW w:w="1275" w:type="dxa"/>
            <w:tcBorders>
              <w:right w:val="single" w:sz="12" w:space="0" w:color="auto"/>
            </w:tcBorders>
            <w:shd w:val="clear" w:color="000000" w:fill="FFFFFF"/>
            <w:vAlign w:val="center"/>
          </w:tcPr>
          <w:p w14:paraId="19977768" w14:textId="77777777" w:rsidR="001676E4" w:rsidRPr="005952CC" w:rsidRDefault="001676E4" w:rsidP="003D66E5">
            <w:pPr>
              <w:jc w:val="right"/>
              <w:rPr>
                <w:rFonts w:cs="Arial"/>
                <w:color w:val="000000"/>
                <w:sz w:val="18"/>
                <w:szCs w:val="18"/>
              </w:rPr>
            </w:pPr>
            <w:r w:rsidRPr="005952CC">
              <w:rPr>
                <w:rFonts w:cs="Arial"/>
                <w:color w:val="000000"/>
                <w:sz w:val="18"/>
                <w:szCs w:val="18"/>
              </w:rPr>
              <w:t>11,1</w:t>
            </w:r>
          </w:p>
        </w:tc>
        <w:tc>
          <w:tcPr>
            <w:tcW w:w="1276" w:type="dxa"/>
            <w:tcBorders>
              <w:right w:val="single" w:sz="12" w:space="0" w:color="auto"/>
            </w:tcBorders>
            <w:shd w:val="clear" w:color="000000" w:fill="FFFFFF"/>
            <w:vAlign w:val="center"/>
          </w:tcPr>
          <w:p w14:paraId="62CC9A82" w14:textId="77777777" w:rsidR="001676E4" w:rsidRPr="005952CC" w:rsidRDefault="001676E4" w:rsidP="003D66E5">
            <w:pPr>
              <w:jc w:val="right"/>
              <w:rPr>
                <w:rFonts w:cs="Arial"/>
                <w:color w:val="000000"/>
                <w:sz w:val="18"/>
                <w:szCs w:val="18"/>
              </w:rPr>
            </w:pPr>
            <w:r w:rsidRPr="005952CC">
              <w:rPr>
                <w:rFonts w:cs="Arial"/>
                <w:color w:val="000000"/>
                <w:sz w:val="18"/>
                <w:szCs w:val="18"/>
              </w:rPr>
              <w:t>23,8</w:t>
            </w:r>
          </w:p>
        </w:tc>
      </w:tr>
      <w:tr w:rsidR="001676E4" w:rsidRPr="005952CC" w14:paraId="59B702FB" w14:textId="77777777" w:rsidTr="003D66E5">
        <w:trPr>
          <w:cantSplit/>
          <w:trHeight w:val="734"/>
        </w:trPr>
        <w:tc>
          <w:tcPr>
            <w:tcW w:w="1800" w:type="dxa"/>
            <w:vMerge/>
            <w:tcBorders>
              <w:left w:val="single" w:sz="12" w:space="0" w:color="auto"/>
              <w:bottom w:val="single" w:sz="12" w:space="0" w:color="auto"/>
              <w:right w:val="single" w:sz="12" w:space="0" w:color="auto"/>
            </w:tcBorders>
            <w:shd w:val="clear" w:color="000000" w:fill="FFFFFF"/>
          </w:tcPr>
          <w:p w14:paraId="4CFBF838" w14:textId="77777777" w:rsidR="001676E4" w:rsidRPr="005952CC" w:rsidRDefault="001676E4" w:rsidP="003D66E5">
            <w:pPr>
              <w:widowControl w:val="0"/>
              <w:autoSpaceDE w:val="0"/>
              <w:autoSpaceDN w:val="0"/>
              <w:adjustRightInd w:val="0"/>
              <w:rPr>
                <w:rFonts w:cs="Arial"/>
                <w:color w:val="000000"/>
                <w:sz w:val="18"/>
                <w:szCs w:val="18"/>
              </w:rPr>
            </w:pPr>
          </w:p>
        </w:tc>
        <w:tc>
          <w:tcPr>
            <w:tcW w:w="3587" w:type="dxa"/>
            <w:tcBorders>
              <w:left w:val="single" w:sz="12" w:space="0" w:color="auto"/>
              <w:bottom w:val="single" w:sz="12" w:space="0" w:color="auto"/>
              <w:right w:val="single" w:sz="12" w:space="0" w:color="auto"/>
            </w:tcBorders>
            <w:shd w:val="clear" w:color="000000" w:fill="FFFFFF"/>
            <w:vAlign w:val="center"/>
          </w:tcPr>
          <w:p w14:paraId="796E6D1C"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W czasie 30 dni przed badaniem</w:t>
            </w:r>
          </w:p>
        </w:tc>
        <w:tc>
          <w:tcPr>
            <w:tcW w:w="1276" w:type="dxa"/>
            <w:tcBorders>
              <w:bottom w:val="single" w:sz="12" w:space="0" w:color="auto"/>
              <w:right w:val="single" w:sz="12" w:space="0" w:color="auto"/>
            </w:tcBorders>
            <w:shd w:val="clear" w:color="000000" w:fill="FFFFFF"/>
            <w:vAlign w:val="center"/>
          </w:tcPr>
          <w:p w14:paraId="1C5CB32D" w14:textId="77777777" w:rsidR="001676E4" w:rsidRPr="005952CC" w:rsidRDefault="001676E4" w:rsidP="003D66E5">
            <w:pPr>
              <w:jc w:val="right"/>
              <w:rPr>
                <w:rFonts w:cs="Arial"/>
                <w:color w:val="000000"/>
                <w:sz w:val="18"/>
                <w:szCs w:val="18"/>
              </w:rPr>
            </w:pPr>
            <w:r w:rsidRPr="005952CC">
              <w:rPr>
                <w:rFonts w:cs="Arial"/>
                <w:color w:val="000000"/>
                <w:sz w:val="18"/>
                <w:szCs w:val="18"/>
              </w:rPr>
              <w:t>10,4</w:t>
            </w:r>
          </w:p>
        </w:tc>
        <w:tc>
          <w:tcPr>
            <w:tcW w:w="1275" w:type="dxa"/>
            <w:tcBorders>
              <w:bottom w:val="single" w:sz="12" w:space="0" w:color="auto"/>
              <w:right w:val="single" w:sz="12" w:space="0" w:color="auto"/>
            </w:tcBorders>
            <w:shd w:val="clear" w:color="000000" w:fill="FFFFFF"/>
            <w:vAlign w:val="center"/>
          </w:tcPr>
          <w:p w14:paraId="2B527D52" w14:textId="77777777" w:rsidR="001676E4" w:rsidRPr="005952CC" w:rsidRDefault="001676E4" w:rsidP="003D66E5">
            <w:pPr>
              <w:jc w:val="right"/>
              <w:rPr>
                <w:rFonts w:cs="Arial"/>
                <w:color w:val="000000"/>
                <w:sz w:val="18"/>
                <w:szCs w:val="18"/>
              </w:rPr>
            </w:pPr>
            <w:r w:rsidRPr="005952CC">
              <w:rPr>
                <w:rFonts w:cs="Arial"/>
                <w:color w:val="000000"/>
                <w:sz w:val="18"/>
                <w:szCs w:val="18"/>
              </w:rPr>
              <w:t>7,0</w:t>
            </w:r>
          </w:p>
        </w:tc>
        <w:tc>
          <w:tcPr>
            <w:tcW w:w="1276" w:type="dxa"/>
            <w:tcBorders>
              <w:bottom w:val="single" w:sz="12" w:space="0" w:color="auto"/>
              <w:right w:val="single" w:sz="12" w:space="0" w:color="auto"/>
            </w:tcBorders>
            <w:shd w:val="clear" w:color="000000" w:fill="FFFFFF"/>
            <w:vAlign w:val="center"/>
          </w:tcPr>
          <w:p w14:paraId="169E8091" w14:textId="77777777" w:rsidR="001676E4" w:rsidRPr="005952CC" w:rsidRDefault="001676E4" w:rsidP="003D66E5">
            <w:pPr>
              <w:jc w:val="right"/>
              <w:rPr>
                <w:rFonts w:cs="Arial"/>
                <w:color w:val="000000"/>
                <w:sz w:val="18"/>
                <w:szCs w:val="18"/>
              </w:rPr>
            </w:pPr>
            <w:r w:rsidRPr="005952CC">
              <w:rPr>
                <w:rFonts w:cs="Arial"/>
                <w:color w:val="000000"/>
                <w:sz w:val="18"/>
                <w:szCs w:val="18"/>
              </w:rPr>
              <w:t>18,0</w:t>
            </w:r>
          </w:p>
        </w:tc>
      </w:tr>
    </w:tbl>
    <w:p w14:paraId="7B06E487"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5CFA3BE3" w14:textId="1CA1D425" w:rsidR="001676E4" w:rsidRPr="00317DE2" w:rsidRDefault="001676E4" w:rsidP="00A43860">
      <w:pPr>
        <w:pStyle w:val="Nagwek3"/>
        <w:rPr>
          <w:rFonts w:eastAsia="Calibri"/>
        </w:rPr>
      </w:pPr>
      <w:r w:rsidRPr="00317DE2">
        <w:rPr>
          <w:rFonts w:eastAsia="Calibri"/>
        </w:rPr>
        <w:t>Korzystanie z mediów społecznościowych i gier wideo</w:t>
      </w:r>
    </w:p>
    <w:p w14:paraId="06D8521A" w14:textId="736BEE85" w:rsidR="001676E4" w:rsidRPr="00317DE2" w:rsidRDefault="001676E4" w:rsidP="001676E4">
      <w:pPr>
        <w:widowControl w:val="0"/>
        <w:tabs>
          <w:tab w:val="center" w:pos="3456"/>
        </w:tabs>
        <w:autoSpaceDE w:val="0"/>
        <w:autoSpaceDN w:val="0"/>
        <w:adjustRightInd w:val="0"/>
        <w:spacing w:line="360" w:lineRule="auto"/>
        <w:ind w:firstLine="567"/>
        <w:jc w:val="both"/>
        <w:rPr>
          <w:rFonts w:cs="Arial"/>
          <w:color w:val="000000"/>
          <w:sz w:val="22"/>
          <w:szCs w:val="22"/>
        </w:rPr>
      </w:pPr>
      <w:r w:rsidRPr="00317DE2">
        <w:rPr>
          <w:rFonts w:cs="Arial"/>
          <w:color w:val="000000"/>
          <w:sz w:val="22"/>
          <w:szCs w:val="22"/>
        </w:rPr>
        <w:t>W badaniu ESPAD 2024 r. poruszono kwestię symptomów nadmiernego korzystania z</w:t>
      </w:r>
      <w:r>
        <w:rPr>
          <w:rFonts w:cs="Arial"/>
          <w:color w:val="000000"/>
          <w:sz w:val="22"/>
          <w:szCs w:val="22"/>
        </w:rPr>
        <w:t> </w:t>
      </w:r>
      <w:r w:rsidRPr="00317DE2">
        <w:rPr>
          <w:rFonts w:cs="Arial"/>
          <w:color w:val="000000"/>
          <w:sz w:val="22"/>
          <w:szCs w:val="22"/>
        </w:rPr>
        <w:t xml:space="preserve">mediów społecznościowych, takich jak Twitter, Facebook czy Skype. </w:t>
      </w:r>
      <w:r w:rsidRPr="00317DE2">
        <w:rPr>
          <w:rFonts w:cs="Arial"/>
          <w:sz w:val="22"/>
          <w:szCs w:val="22"/>
        </w:rPr>
        <w:t xml:space="preserve">Diagnozowano symptomy </w:t>
      </w:r>
      <w:r w:rsidRPr="00317DE2">
        <w:rPr>
          <w:rFonts w:cs="Arial"/>
          <w:color w:val="000000"/>
          <w:sz w:val="22"/>
          <w:szCs w:val="22"/>
        </w:rPr>
        <w:t xml:space="preserve">nadmiernego korzystania z gier na urządzeniach elektronicznych, takich jak komputer, smartfon, konsola </w:t>
      </w:r>
      <w:r w:rsidRPr="00844523">
        <w:rPr>
          <w:rFonts w:cs="Arial"/>
          <w:color w:val="000000"/>
          <w:sz w:val="22"/>
          <w:szCs w:val="22"/>
        </w:rPr>
        <w:t xml:space="preserve">(tabela </w:t>
      </w:r>
      <w:r w:rsidR="00844523" w:rsidRPr="00844523">
        <w:rPr>
          <w:rFonts w:cs="Arial"/>
          <w:color w:val="000000"/>
          <w:sz w:val="22"/>
          <w:szCs w:val="22"/>
        </w:rPr>
        <w:t>3</w:t>
      </w:r>
      <w:r w:rsidR="0020619E">
        <w:rPr>
          <w:rFonts w:cs="Arial"/>
          <w:color w:val="000000"/>
          <w:sz w:val="22"/>
          <w:szCs w:val="22"/>
        </w:rPr>
        <w:t>1</w:t>
      </w:r>
      <w:r w:rsidR="00844523" w:rsidRPr="00844523">
        <w:rPr>
          <w:rFonts w:cs="Arial"/>
          <w:color w:val="000000"/>
          <w:sz w:val="22"/>
          <w:szCs w:val="22"/>
        </w:rPr>
        <w:t>)</w:t>
      </w:r>
      <w:r w:rsidRPr="00844523">
        <w:rPr>
          <w:rFonts w:cs="Arial"/>
          <w:color w:val="000000"/>
          <w:sz w:val="22"/>
          <w:szCs w:val="22"/>
        </w:rPr>
        <w:t>.</w:t>
      </w:r>
      <w:r w:rsidRPr="00317DE2">
        <w:rPr>
          <w:rFonts w:cs="Arial"/>
          <w:color w:val="000000"/>
          <w:sz w:val="22"/>
          <w:szCs w:val="22"/>
        </w:rPr>
        <w:t xml:space="preserve"> </w:t>
      </w:r>
    </w:p>
    <w:p w14:paraId="33D272BB" w14:textId="31268132" w:rsidR="001676E4" w:rsidRPr="00317DE2" w:rsidRDefault="001676E4" w:rsidP="001676E4">
      <w:pPr>
        <w:widowControl w:val="0"/>
        <w:tabs>
          <w:tab w:val="center" w:pos="3456"/>
        </w:tabs>
        <w:autoSpaceDE w:val="0"/>
        <w:autoSpaceDN w:val="0"/>
        <w:adjustRightInd w:val="0"/>
        <w:spacing w:line="360" w:lineRule="auto"/>
        <w:ind w:firstLine="567"/>
        <w:jc w:val="both"/>
        <w:rPr>
          <w:rFonts w:cs="Arial"/>
          <w:color w:val="000000"/>
          <w:sz w:val="22"/>
          <w:szCs w:val="22"/>
        </w:rPr>
      </w:pPr>
      <w:r w:rsidRPr="00317DE2">
        <w:rPr>
          <w:rFonts w:cs="Arial"/>
          <w:color w:val="000000"/>
          <w:sz w:val="22"/>
          <w:szCs w:val="22"/>
        </w:rPr>
        <w:t>W młodszej grupie wiekowej i starszej uszeregowanie symptomów według występowania jest podobne (odpowiedzi zdecydowanie tak i raczej tak): 44,2% młodszej młodzieży i 56,8% starszej przyznało, że poświęca zbyt wiele czasu na gry 34,3% 15-16 latków i 32,9% 17-18 latków zadeklarowało, że ich rodzice są przekonani, że za dużo czasu spędzają na graniu, a</w:t>
      </w:r>
      <w:r>
        <w:rPr>
          <w:rFonts w:cs="Arial"/>
          <w:color w:val="000000"/>
          <w:sz w:val="22"/>
          <w:szCs w:val="22"/>
        </w:rPr>
        <w:t> </w:t>
      </w:r>
      <w:r w:rsidRPr="00317DE2">
        <w:rPr>
          <w:rFonts w:cs="Arial"/>
          <w:color w:val="000000"/>
          <w:sz w:val="22"/>
          <w:szCs w:val="22"/>
        </w:rPr>
        <w:t xml:space="preserve">18,2% młodszych dzieci i 16% starszych odczuwa zły humor jeśli jest pozbawione grania. </w:t>
      </w:r>
    </w:p>
    <w:p w14:paraId="2B884E1F" w14:textId="77777777" w:rsidR="001676E4" w:rsidRPr="00317DE2" w:rsidRDefault="001676E4" w:rsidP="001676E4">
      <w:pPr>
        <w:widowControl w:val="0"/>
        <w:tabs>
          <w:tab w:val="center" w:pos="3456"/>
        </w:tabs>
        <w:autoSpaceDE w:val="0"/>
        <w:autoSpaceDN w:val="0"/>
        <w:adjustRightInd w:val="0"/>
        <w:spacing w:line="360" w:lineRule="auto"/>
        <w:ind w:firstLine="567"/>
        <w:jc w:val="both"/>
        <w:rPr>
          <w:rFonts w:cs="Arial"/>
          <w:color w:val="000000"/>
          <w:sz w:val="22"/>
          <w:szCs w:val="22"/>
        </w:rPr>
      </w:pPr>
      <w:r w:rsidRPr="00317DE2">
        <w:rPr>
          <w:rFonts w:cs="Arial"/>
          <w:color w:val="000000"/>
          <w:sz w:val="22"/>
          <w:szCs w:val="22"/>
        </w:rPr>
        <w:lastRenderedPageBreak/>
        <w:t>Nie odnotowano istotnych różnic w zakresie występowania symptomów nadmiernego korzystania z mediów społecznościowych, takich jak Twitter, Facebook czy Skype wśród uczniów w województwie lubelskiego i w kraju ogółem. Ta prawidłowość dotyczy obu kohort.</w:t>
      </w:r>
    </w:p>
    <w:p w14:paraId="2729BB1A" w14:textId="6FE04133" w:rsidR="001676E4" w:rsidRPr="00A43860" w:rsidRDefault="001676E4" w:rsidP="001676E4">
      <w:pPr>
        <w:pStyle w:val="Legenda"/>
        <w:keepNext/>
        <w:rPr>
          <w:sz w:val="20"/>
          <w:szCs w:val="16"/>
        </w:rPr>
      </w:pPr>
      <w:bookmarkStart w:id="112" w:name="_Toc214279716"/>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31</w:t>
      </w:r>
      <w:r w:rsidRPr="00A43860">
        <w:rPr>
          <w:sz w:val="20"/>
          <w:szCs w:val="16"/>
        </w:rPr>
        <w:fldChar w:fldCharType="end"/>
      </w:r>
      <w:r w:rsidRPr="00A43860">
        <w:rPr>
          <w:sz w:val="20"/>
          <w:szCs w:val="16"/>
        </w:rPr>
        <w:t>. Symptomy nadmiernego korzystania z mediów społecznościowych, takich jak Twitter, Facebook, Skype (województwo lubelskie).</w:t>
      </w:r>
      <w:bookmarkEnd w:id="112"/>
    </w:p>
    <w:tbl>
      <w:tblPr>
        <w:tblW w:w="9698" w:type="dxa"/>
        <w:tblInd w:w="93" w:type="dxa"/>
        <w:tblLayout w:type="fixed"/>
        <w:tblCellMar>
          <w:left w:w="93" w:type="dxa"/>
          <w:right w:w="93" w:type="dxa"/>
        </w:tblCellMar>
        <w:tblLook w:val="0000" w:firstRow="0" w:lastRow="0" w:firstColumn="0" w:lastColumn="0" w:noHBand="0" w:noVBand="0"/>
      </w:tblPr>
      <w:tblGrid>
        <w:gridCol w:w="1418"/>
        <w:gridCol w:w="2977"/>
        <w:gridCol w:w="1134"/>
        <w:gridCol w:w="992"/>
        <w:gridCol w:w="1134"/>
        <w:gridCol w:w="970"/>
        <w:gridCol w:w="1073"/>
      </w:tblGrid>
      <w:tr w:rsidR="001676E4" w:rsidRPr="0092722E" w14:paraId="17E7154D" w14:textId="77777777" w:rsidTr="003D66E5">
        <w:trPr>
          <w:trHeight w:val="340"/>
        </w:trPr>
        <w:tc>
          <w:tcPr>
            <w:tcW w:w="1418" w:type="dxa"/>
            <w:tcBorders>
              <w:top w:val="single" w:sz="12" w:space="0" w:color="000000"/>
              <w:left w:val="single" w:sz="12" w:space="0" w:color="000000"/>
              <w:bottom w:val="single" w:sz="12" w:space="0" w:color="000000"/>
              <w:right w:val="single" w:sz="4" w:space="0" w:color="000000"/>
            </w:tcBorders>
            <w:shd w:val="clear" w:color="000000" w:fill="FFFFFF"/>
            <w:vAlign w:val="bottom"/>
          </w:tcPr>
          <w:p w14:paraId="06FBA4FF"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Kohorta</w:t>
            </w:r>
          </w:p>
        </w:tc>
        <w:tc>
          <w:tcPr>
            <w:tcW w:w="2977" w:type="dxa"/>
            <w:tcBorders>
              <w:top w:val="single" w:sz="12" w:space="0" w:color="000000"/>
              <w:left w:val="single" w:sz="4" w:space="0" w:color="000000"/>
              <w:bottom w:val="single" w:sz="12" w:space="0" w:color="000000"/>
              <w:right w:val="single" w:sz="12" w:space="0" w:color="000000"/>
            </w:tcBorders>
            <w:shd w:val="clear" w:color="000000" w:fill="FFFFFF"/>
            <w:vAlign w:val="bottom"/>
          </w:tcPr>
          <w:p w14:paraId="7EF58839" w14:textId="77777777" w:rsidR="001676E4" w:rsidRPr="0092722E" w:rsidRDefault="001676E4" w:rsidP="003D66E5">
            <w:pPr>
              <w:widowControl w:val="0"/>
              <w:autoSpaceDE w:val="0"/>
              <w:autoSpaceDN w:val="0"/>
              <w:adjustRightInd w:val="0"/>
              <w:jc w:val="center"/>
              <w:rPr>
                <w:rFonts w:cs="Arial"/>
                <w:b/>
                <w:bCs/>
                <w:color w:val="000000"/>
                <w:sz w:val="18"/>
                <w:szCs w:val="18"/>
              </w:rPr>
            </w:pPr>
          </w:p>
        </w:tc>
        <w:tc>
          <w:tcPr>
            <w:tcW w:w="1134"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2C77FEC0"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tak</w:t>
            </w:r>
          </w:p>
        </w:tc>
        <w:tc>
          <w:tcPr>
            <w:tcW w:w="992"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1274D1F6"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tak</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26A7856A"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Ani tak, ani nie</w:t>
            </w:r>
          </w:p>
        </w:tc>
        <w:tc>
          <w:tcPr>
            <w:tcW w:w="97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03B5EC15"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nie</w:t>
            </w:r>
          </w:p>
        </w:tc>
        <w:tc>
          <w:tcPr>
            <w:tcW w:w="1073"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752E9A6C"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nie</w:t>
            </w:r>
          </w:p>
        </w:tc>
      </w:tr>
      <w:tr w:rsidR="001676E4" w:rsidRPr="005952CC" w14:paraId="70E9A924" w14:textId="77777777" w:rsidTr="003D66E5">
        <w:trPr>
          <w:cantSplit/>
          <w:trHeight w:val="340"/>
        </w:trPr>
        <w:tc>
          <w:tcPr>
            <w:tcW w:w="1418" w:type="dxa"/>
            <w:vMerge w:val="restart"/>
            <w:tcBorders>
              <w:top w:val="single" w:sz="12" w:space="0" w:color="000000"/>
              <w:left w:val="single" w:sz="12" w:space="0" w:color="000000"/>
              <w:right w:val="single" w:sz="4" w:space="0" w:color="000000"/>
            </w:tcBorders>
            <w:shd w:val="clear" w:color="000000" w:fill="FFFFFF"/>
          </w:tcPr>
          <w:p w14:paraId="1728EC63"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Młodsza kohorta (15-16 lat)</w:t>
            </w:r>
          </w:p>
          <w:p w14:paraId="18015B66"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 xml:space="preserve"> </w:t>
            </w:r>
          </w:p>
        </w:tc>
        <w:tc>
          <w:tcPr>
            <w:tcW w:w="2977" w:type="dxa"/>
            <w:tcBorders>
              <w:top w:val="single" w:sz="12" w:space="0" w:color="000000"/>
              <w:left w:val="single" w:sz="4" w:space="0" w:color="000000"/>
              <w:bottom w:val="nil"/>
              <w:right w:val="single" w:sz="12" w:space="0" w:color="000000"/>
            </w:tcBorders>
            <w:shd w:val="clear" w:color="000000" w:fill="FFFFFF"/>
            <w:vAlign w:val="center"/>
          </w:tcPr>
          <w:p w14:paraId="071C0BD5"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że spędza się za dużo czasu w tych mediach</w:t>
            </w:r>
          </w:p>
        </w:tc>
        <w:tc>
          <w:tcPr>
            <w:tcW w:w="1134" w:type="dxa"/>
            <w:tcBorders>
              <w:top w:val="single" w:sz="12" w:space="0" w:color="000000"/>
              <w:left w:val="single" w:sz="12" w:space="0" w:color="000000"/>
              <w:bottom w:val="nil"/>
              <w:right w:val="single" w:sz="2" w:space="0" w:color="000000"/>
            </w:tcBorders>
            <w:shd w:val="clear" w:color="000000" w:fill="FFFFFF"/>
            <w:vAlign w:val="center"/>
          </w:tcPr>
          <w:p w14:paraId="59FEB18F" w14:textId="77777777" w:rsidR="001676E4" w:rsidRPr="005952CC" w:rsidRDefault="001676E4" w:rsidP="003D66E5">
            <w:pPr>
              <w:jc w:val="right"/>
              <w:rPr>
                <w:rFonts w:cs="Arial"/>
                <w:color w:val="000000"/>
                <w:sz w:val="18"/>
                <w:szCs w:val="18"/>
              </w:rPr>
            </w:pPr>
            <w:r w:rsidRPr="005952CC">
              <w:rPr>
                <w:rFonts w:cs="Arial"/>
                <w:color w:val="000000"/>
                <w:sz w:val="18"/>
                <w:szCs w:val="18"/>
              </w:rPr>
              <w:t>21,8</w:t>
            </w:r>
          </w:p>
        </w:tc>
        <w:tc>
          <w:tcPr>
            <w:tcW w:w="992" w:type="dxa"/>
            <w:tcBorders>
              <w:top w:val="single" w:sz="12" w:space="0" w:color="000000"/>
              <w:left w:val="single" w:sz="2" w:space="0" w:color="000000"/>
              <w:bottom w:val="nil"/>
              <w:right w:val="single" w:sz="2" w:space="0" w:color="000000"/>
            </w:tcBorders>
            <w:shd w:val="clear" w:color="000000" w:fill="FFFFFF"/>
            <w:vAlign w:val="center"/>
          </w:tcPr>
          <w:p w14:paraId="1AEEAA38" w14:textId="77777777" w:rsidR="001676E4" w:rsidRPr="005952CC" w:rsidRDefault="001676E4" w:rsidP="003D66E5">
            <w:pPr>
              <w:jc w:val="right"/>
              <w:rPr>
                <w:rFonts w:cs="Arial"/>
                <w:color w:val="000000"/>
                <w:sz w:val="18"/>
                <w:szCs w:val="18"/>
              </w:rPr>
            </w:pPr>
            <w:r w:rsidRPr="005952CC">
              <w:rPr>
                <w:rFonts w:cs="Arial"/>
                <w:color w:val="000000"/>
                <w:sz w:val="18"/>
                <w:szCs w:val="18"/>
              </w:rPr>
              <w:t>22,4</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5104F611" w14:textId="77777777" w:rsidR="001676E4" w:rsidRPr="005952CC" w:rsidRDefault="001676E4" w:rsidP="003D66E5">
            <w:pPr>
              <w:jc w:val="right"/>
              <w:rPr>
                <w:rFonts w:cs="Arial"/>
                <w:color w:val="000000"/>
                <w:sz w:val="18"/>
                <w:szCs w:val="18"/>
              </w:rPr>
            </w:pPr>
            <w:r w:rsidRPr="005952CC">
              <w:rPr>
                <w:rFonts w:cs="Arial"/>
                <w:color w:val="000000"/>
                <w:sz w:val="18"/>
                <w:szCs w:val="18"/>
              </w:rPr>
              <w:t>22,9</w:t>
            </w:r>
          </w:p>
        </w:tc>
        <w:tc>
          <w:tcPr>
            <w:tcW w:w="970" w:type="dxa"/>
            <w:tcBorders>
              <w:top w:val="single" w:sz="12" w:space="0" w:color="000000"/>
              <w:left w:val="single" w:sz="2" w:space="0" w:color="000000"/>
              <w:bottom w:val="nil"/>
              <w:right w:val="single" w:sz="2" w:space="0" w:color="000000"/>
            </w:tcBorders>
            <w:shd w:val="clear" w:color="000000" w:fill="FFFFFF"/>
            <w:vAlign w:val="center"/>
          </w:tcPr>
          <w:p w14:paraId="4660CE34" w14:textId="77777777" w:rsidR="001676E4" w:rsidRPr="005952CC" w:rsidRDefault="001676E4" w:rsidP="003D66E5">
            <w:pPr>
              <w:jc w:val="right"/>
              <w:rPr>
                <w:rFonts w:cs="Arial"/>
                <w:color w:val="000000"/>
                <w:sz w:val="18"/>
                <w:szCs w:val="18"/>
              </w:rPr>
            </w:pPr>
            <w:r w:rsidRPr="005952CC">
              <w:rPr>
                <w:rFonts w:cs="Arial"/>
                <w:color w:val="000000"/>
                <w:sz w:val="18"/>
                <w:szCs w:val="18"/>
              </w:rPr>
              <w:t>17,9</w:t>
            </w:r>
          </w:p>
        </w:tc>
        <w:tc>
          <w:tcPr>
            <w:tcW w:w="1073" w:type="dxa"/>
            <w:tcBorders>
              <w:top w:val="single" w:sz="12" w:space="0" w:color="000000"/>
              <w:left w:val="single" w:sz="2" w:space="0" w:color="000000"/>
              <w:bottom w:val="nil"/>
              <w:right w:val="single" w:sz="12" w:space="0" w:color="000000"/>
            </w:tcBorders>
            <w:shd w:val="clear" w:color="000000" w:fill="FFFFFF"/>
            <w:vAlign w:val="center"/>
          </w:tcPr>
          <w:p w14:paraId="0AD38D8A" w14:textId="77777777" w:rsidR="001676E4" w:rsidRPr="005952CC" w:rsidRDefault="001676E4" w:rsidP="003D66E5">
            <w:pPr>
              <w:jc w:val="right"/>
              <w:rPr>
                <w:rFonts w:cs="Arial"/>
                <w:color w:val="000000"/>
                <w:sz w:val="18"/>
                <w:szCs w:val="18"/>
              </w:rPr>
            </w:pPr>
            <w:r w:rsidRPr="005952CC">
              <w:rPr>
                <w:rFonts w:cs="Arial"/>
                <w:color w:val="000000"/>
                <w:sz w:val="18"/>
                <w:szCs w:val="18"/>
              </w:rPr>
              <w:t>15,0</w:t>
            </w:r>
          </w:p>
        </w:tc>
      </w:tr>
      <w:tr w:rsidR="001676E4" w:rsidRPr="005952CC" w14:paraId="334C8B0E" w14:textId="77777777" w:rsidTr="003D66E5">
        <w:trPr>
          <w:cantSplit/>
          <w:trHeight w:val="340"/>
        </w:trPr>
        <w:tc>
          <w:tcPr>
            <w:tcW w:w="1418" w:type="dxa"/>
            <w:vMerge/>
            <w:tcBorders>
              <w:left w:val="single" w:sz="12" w:space="0" w:color="000000"/>
              <w:right w:val="single" w:sz="4" w:space="0" w:color="000000"/>
            </w:tcBorders>
            <w:shd w:val="clear" w:color="000000" w:fill="FFFFFF"/>
          </w:tcPr>
          <w:p w14:paraId="4F0ACB41"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nil"/>
              <w:right w:val="single" w:sz="12" w:space="0" w:color="000000"/>
            </w:tcBorders>
            <w:shd w:val="clear" w:color="000000" w:fill="FFFFFF"/>
            <w:vAlign w:val="center"/>
          </w:tcPr>
          <w:p w14:paraId="6C245C25"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Zły humor jeśli brak możliwości uczestnictwa w tych mediach</w:t>
            </w:r>
          </w:p>
        </w:tc>
        <w:tc>
          <w:tcPr>
            <w:tcW w:w="1134" w:type="dxa"/>
            <w:tcBorders>
              <w:top w:val="nil"/>
              <w:left w:val="single" w:sz="12" w:space="0" w:color="000000"/>
              <w:bottom w:val="nil"/>
              <w:right w:val="single" w:sz="2" w:space="0" w:color="000000"/>
            </w:tcBorders>
            <w:shd w:val="clear" w:color="000000" w:fill="FFFFFF"/>
            <w:vAlign w:val="center"/>
          </w:tcPr>
          <w:p w14:paraId="49EFE7FC" w14:textId="77777777" w:rsidR="001676E4" w:rsidRPr="005952CC" w:rsidRDefault="001676E4" w:rsidP="003D66E5">
            <w:pPr>
              <w:jc w:val="right"/>
              <w:rPr>
                <w:rFonts w:cs="Arial"/>
                <w:color w:val="000000"/>
                <w:sz w:val="18"/>
                <w:szCs w:val="18"/>
              </w:rPr>
            </w:pPr>
            <w:r w:rsidRPr="005952CC">
              <w:rPr>
                <w:rFonts w:cs="Arial"/>
                <w:color w:val="000000"/>
                <w:sz w:val="18"/>
                <w:szCs w:val="18"/>
              </w:rPr>
              <w:t>6,3</w:t>
            </w:r>
          </w:p>
        </w:tc>
        <w:tc>
          <w:tcPr>
            <w:tcW w:w="992" w:type="dxa"/>
            <w:tcBorders>
              <w:top w:val="nil"/>
              <w:left w:val="single" w:sz="2" w:space="0" w:color="000000"/>
              <w:bottom w:val="nil"/>
              <w:right w:val="single" w:sz="2" w:space="0" w:color="000000"/>
            </w:tcBorders>
            <w:shd w:val="clear" w:color="000000" w:fill="FFFFFF"/>
            <w:vAlign w:val="center"/>
          </w:tcPr>
          <w:p w14:paraId="13A381CC" w14:textId="77777777" w:rsidR="001676E4" w:rsidRPr="005952CC" w:rsidRDefault="001676E4" w:rsidP="003D66E5">
            <w:pPr>
              <w:jc w:val="right"/>
              <w:rPr>
                <w:rFonts w:cs="Arial"/>
                <w:color w:val="000000"/>
                <w:sz w:val="18"/>
                <w:szCs w:val="18"/>
              </w:rPr>
            </w:pPr>
            <w:r w:rsidRPr="005952CC">
              <w:rPr>
                <w:rFonts w:cs="Arial"/>
                <w:color w:val="000000"/>
                <w:sz w:val="18"/>
                <w:szCs w:val="18"/>
              </w:rPr>
              <w:t>11,9</w:t>
            </w:r>
          </w:p>
        </w:tc>
        <w:tc>
          <w:tcPr>
            <w:tcW w:w="1134" w:type="dxa"/>
            <w:tcBorders>
              <w:top w:val="nil"/>
              <w:left w:val="single" w:sz="2" w:space="0" w:color="000000"/>
              <w:bottom w:val="nil"/>
              <w:right w:val="single" w:sz="2" w:space="0" w:color="000000"/>
            </w:tcBorders>
            <w:shd w:val="clear" w:color="000000" w:fill="FFFFFF"/>
            <w:vAlign w:val="center"/>
          </w:tcPr>
          <w:p w14:paraId="02B71B05" w14:textId="77777777" w:rsidR="001676E4" w:rsidRPr="005952CC" w:rsidRDefault="001676E4" w:rsidP="003D66E5">
            <w:pPr>
              <w:jc w:val="right"/>
              <w:rPr>
                <w:rFonts w:cs="Arial"/>
                <w:color w:val="000000"/>
                <w:sz w:val="18"/>
                <w:szCs w:val="18"/>
              </w:rPr>
            </w:pPr>
            <w:r w:rsidRPr="005952CC">
              <w:rPr>
                <w:rFonts w:cs="Arial"/>
                <w:color w:val="000000"/>
                <w:sz w:val="18"/>
                <w:szCs w:val="18"/>
              </w:rPr>
              <w:t>22,6</w:t>
            </w:r>
          </w:p>
        </w:tc>
        <w:tc>
          <w:tcPr>
            <w:tcW w:w="970" w:type="dxa"/>
            <w:tcBorders>
              <w:top w:val="nil"/>
              <w:left w:val="single" w:sz="2" w:space="0" w:color="000000"/>
              <w:bottom w:val="nil"/>
              <w:right w:val="single" w:sz="2" w:space="0" w:color="000000"/>
            </w:tcBorders>
            <w:shd w:val="clear" w:color="000000" w:fill="FFFFFF"/>
            <w:vAlign w:val="center"/>
          </w:tcPr>
          <w:p w14:paraId="4594533A" w14:textId="77777777" w:rsidR="001676E4" w:rsidRPr="005952CC" w:rsidRDefault="001676E4" w:rsidP="003D66E5">
            <w:pPr>
              <w:jc w:val="right"/>
              <w:rPr>
                <w:rFonts w:cs="Arial"/>
                <w:color w:val="000000"/>
                <w:sz w:val="18"/>
                <w:szCs w:val="18"/>
              </w:rPr>
            </w:pPr>
            <w:r w:rsidRPr="005952CC">
              <w:rPr>
                <w:rFonts w:cs="Arial"/>
                <w:color w:val="000000"/>
                <w:sz w:val="18"/>
                <w:szCs w:val="18"/>
              </w:rPr>
              <w:t>31,5</w:t>
            </w:r>
          </w:p>
        </w:tc>
        <w:tc>
          <w:tcPr>
            <w:tcW w:w="1073" w:type="dxa"/>
            <w:tcBorders>
              <w:top w:val="nil"/>
              <w:left w:val="single" w:sz="2" w:space="0" w:color="000000"/>
              <w:bottom w:val="nil"/>
              <w:right w:val="single" w:sz="12" w:space="0" w:color="000000"/>
            </w:tcBorders>
            <w:shd w:val="clear" w:color="000000" w:fill="FFFFFF"/>
            <w:vAlign w:val="center"/>
          </w:tcPr>
          <w:p w14:paraId="6649ABB1" w14:textId="77777777" w:rsidR="001676E4" w:rsidRPr="005952CC" w:rsidRDefault="001676E4" w:rsidP="003D66E5">
            <w:pPr>
              <w:jc w:val="right"/>
              <w:rPr>
                <w:rFonts w:cs="Arial"/>
                <w:color w:val="000000"/>
                <w:sz w:val="18"/>
                <w:szCs w:val="18"/>
              </w:rPr>
            </w:pPr>
            <w:r w:rsidRPr="005952CC">
              <w:rPr>
                <w:rFonts w:cs="Arial"/>
                <w:color w:val="000000"/>
                <w:sz w:val="18"/>
                <w:szCs w:val="18"/>
              </w:rPr>
              <w:t>27,7</w:t>
            </w:r>
          </w:p>
        </w:tc>
      </w:tr>
      <w:tr w:rsidR="001676E4" w:rsidRPr="005952CC" w14:paraId="6DA3D3EB" w14:textId="77777777" w:rsidTr="003D66E5">
        <w:trPr>
          <w:cantSplit/>
          <w:trHeight w:val="340"/>
        </w:trPr>
        <w:tc>
          <w:tcPr>
            <w:tcW w:w="1418" w:type="dxa"/>
            <w:vMerge/>
            <w:tcBorders>
              <w:left w:val="single" w:sz="12" w:space="0" w:color="000000"/>
              <w:bottom w:val="single" w:sz="12" w:space="0" w:color="auto"/>
              <w:right w:val="single" w:sz="4" w:space="0" w:color="000000"/>
            </w:tcBorders>
            <w:shd w:val="clear" w:color="000000" w:fill="FFFFFF"/>
          </w:tcPr>
          <w:p w14:paraId="1A7F6531"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single" w:sz="12" w:space="0" w:color="auto"/>
              <w:right w:val="single" w:sz="12" w:space="0" w:color="000000"/>
            </w:tcBorders>
            <w:shd w:val="clear" w:color="000000" w:fill="FFFFFF"/>
            <w:vAlign w:val="center"/>
          </w:tcPr>
          <w:p w14:paraId="2459B8C2"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rodziców, że spędza się za dużo czasu w tych mediach</w:t>
            </w:r>
          </w:p>
        </w:tc>
        <w:tc>
          <w:tcPr>
            <w:tcW w:w="1134" w:type="dxa"/>
            <w:tcBorders>
              <w:top w:val="nil"/>
              <w:left w:val="single" w:sz="12" w:space="0" w:color="000000"/>
              <w:bottom w:val="single" w:sz="12" w:space="0" w:color="auto"/>
              <w:right w:val="single" w:sz="2" w:space="0" w:color="000000"/>
            </w:tcBorders>
            <w:shd w:val="clear" w:color="000000" w:fill="FFFFFF"/>
            <w:vAlign w:val="center"/>
          </w:tcPr>
          <w:p w14:paraId="2111A78C" w14:textId="77777777" w:rsidR="001676E4" w:rsidRPr="005952CC" w:rsidRDefault="001676E4" w:rsidP="003D66E5">
            <w:pPr>
              <w:jc w:val="right"/>
              <w:rPr>
                <w:rFonts w:cs="Arial"/>
                <w:color w:val="000000"/>
                <w:sz w:val="18"/>
                <w:szCs w:val="18"/>
              </w:rPr>
            </w:pPr>
            <w:r w:rsidRPr="005952CC">
              <w:rPr>
                <w:rFonts w:cs="Arial"/>
                <w:color w:val="000000"/>
                <w:sz w:val="18"/>
                <w:szCs w:val="18"/>
              </w:rPr>
              <w:t>15,0</w:t>
            </w:r>
          </w:p>
        </w:tc>
        <w:tc>
          <w:tcPr>
            <w:tcW w:w="992" w:type="dxa"/>
            <w:tcBorders>
              <w:top w:val="nil"/>
              <w:left w:val="single" w:sz="2" w:space="0" w:color="000000"/>
              <w:bottom w:val="single" w:sz="12" w:space="0" w:color="auto"/>
              <w:right w:val="single" w:sz="2" w:space="0" w:color="000000"/>
            </w:tcBorders>
            <w:shd w:val="clear" w:color="000000" w:fill="FFFFFF"/>
            <w:vAlign w:val="center"/>
          </w:tcPr>
          <w:p w14:paraId="3D555AC2" w14:textId="77777777" w:rsidR="001676E4" w:rsidRPr="005952CC" w:rsidRDefault="001676E4" w:rsidP="003D66E5">
            <w:pPr>
              <w:jc w:val="right"/>
              <w:rPr>
                <w:rFonts w:cs="Arial"/>
                <w:color w:val="000000"/>
                <w:sz w:val="18"/>
                <w:szCs w:val="18"/>
              </w:rPr>
            </w:pPr>
            <w:r w:rsidRPr="005952CC">
              <w:rPr>
                <w:rFonts w:cs="Arial"/>
                <w:color w:val="000000"/>
                <w:sz w:val="18"/>
                <w:szCs w:val="18"/>
              </w:rPr>
              <w:t>19,3</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0E87A776" w14:textId="77777777" w:rsidR="001676E4" w:rsidRPr="005952CC" w:rsidRDefault="001676E4" w:rsidP="003D66E5">
            <w:pPr>
              <w:jc w:val="right"/>
              <w:rPr>
                <w:rFonts w:cs="Arial"/>
                <w:color w:val="000000"/>
                <w:sz w:val="18"/>
                <w:szCs w:val="18"/>
              </w:rPr>
            </w:pPr>
            <w:r w:rsidRPr="005952CC">
              <w:rPr>
                <w:rFonts w:cs="Arial"/>
                <w:color w:val="000000"/>
                <w:sz w:val="18"/>
                <w:szCs w:val="18"/>
              </w:rPr>
              <w:t>17,5</w:t>
            </w:r>
          </w:p>
        </w:tc>
        <w:tc>
          <w:tcPr>
            <w:tcW w:w="970" w:type="dxa"/>
            <w:tcBorders>
              <w:top w:val="nil"/>
              <w:left w:val="single" w:sz="2" w:space="0" w:color="000000"/>
              <w:bottom w:val="single" w:sz="12" w:space="0" w:color="auto"/>
              <w:right w:val="single" w:sz="2" w:space="0" w:color="000000"/>
            </w:tcBorders>
            <w:shd w:val="clear" w:color="000000" w:fill="FFFFFF"/>
            <w:vAlign w:val="center"/>
          </w:tcPr>
          <w:p w14:paraId="05300B53" w14:textId="77777777" w:rsidR="001676E4" w:rsidRPr="005952CC" w:rsidRDefault="001676E4" w:rsidP="003D66E5">
            <w:pPr>
              <w:jc w:val="right"/>
              <w:rPr>
                <w:rFonts w:cs="Arial"/>
                <w:color w:val="000000"/>
                <w:sz w:val="18"/>
                <w:szCs w:val="18"/>
              </w:rPr>
            </w:pPr>
            <w:r w:rsidRPr="005952CC">
              <w:rPr>
                <w:rFonts w:cs="Arial"/>
                <w:color w:val="000000"/>
                <w:sz w:val="18"/>
                <w:szCs w:val="18"/>
              </w:rPr>
              <w:t>24,9</w:t>
            </w:r>
          </w:p>
        </w:tc>
        <w:tc>
          <w:tcPr>
            <w:tcW w:w="1073" w:type="dxa"/>
            <w:tcBorders>
              <w:top w:val="nil"/>
              <w:left w:val="single" w:sz="2" w:space="0" w:color="000000"/>
              <w:bottom w:val="single" w:sz="12" w:space="0" w:color="auto"/>
              <w:right w:val="single" w:sz="12" w:space="0" w:color="000000"/>
            </w:tcBorders>
            <w:shd w:val="clear" w:color="000000" w:fill="FFFFFF"/>
            <w:vAlign w:val="center"/>
          </w:tcPr>
          <w:p w14:paraId="1F2F1E22" w14:textId="77777777" w:rsidR="001676E4" w:rsidRPr="005952CC" w:rsidRDefault="001676E4" w:rsidP="003D66E5">
            <w:pPr>
              <w:jc w:val="right"/>
              <w:rPr>
                <w:rFonts w:cs="Arial"/>
                <w:color w:val="000000"/>
                <w:sz w:val="18"/>
                <w:szCs w:val="18"/>
              </w:rPr>
            </w:pPr>
            <w:r w:rsidRPr="005952CC">
              <w:rPr>
                <w:rFonts w:cs="Arial"/>
                <w:color w:val="000000"/>
                <w:sz w:val="18"/>
                <w:szCs w:val="18"/>
              </w:rPr>
              <w:t>23,3</w:t>
            </w:r>
          </w:p>
        </w:tc>
      </w:tr>
      <w:tr w:rsidR="001676E4" w:rsidRPr="005952CC" w14:paraId="14BF6C44" w14:textId="77777777" w:rsidTr="003D66E5">
        <w:trPr>
          <w:cantSplit/>
          <w:trHeight w:val="340"/>
        </w:trPr>
        <w:tc>
          <w:tcPr>
            <w:tcW w:w="1418" w:type="dxa"/>
            <w:vMerge w:val="restart"/>
            <w:tcBorders>
              <w:top w:val="single" w:sz="12" w:space="0" w:color="auto"/>
              <w:left w:val="single" w:sz="12" w:space="0" w:color="000000"/>
              <w:right w:val="single" w:sz="4" w:space="0" w:color="000000"/>
            </w:tcBorders>
            <w:shd w:val="clear" w:color="000000" w:fill="FFFFFF"/>
          </w:tcPr>
          <w:p w14:paraId="4105C8D8"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Starsza kohorta (17-18 lat)</w:t>
            </w:r>
          </w:p>
          <w:p w14:paraId="15F6E4A8"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 xml:space="preserve"> </w:t>
            </w:r>
          </w:p>
        </w:tc>
        <w:tc>
          <w:tcPr>
            <w:tcW w:w="2977" w:type="dxa"/>
            <w:tcBorders>
              <w:top w:val="single" w:sz="12" w:space="0" w:color="auto"/>
              <w:left w:val="single" w:sz="4" w:space="0" w:color="000000"/>
              <w:bottom w:val="nil"/>
              <w:right w:val="single" w:sz="12" w:space="0" w:color="000000"/>
            </w:tcBorders>
            <w:shd w:val="clear" w:color="000000" w:fill="FFFFFF"/>
            <w:vAlign w:val="center"/>
          </w:tcPr>
          <w:p w14:paraId="3BAEC0DF"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że spędza się za dużo czasu w tych mediach</w:t>
            </w:r>
          </w:p>
        </w:tc>
        <w:tc>
          <w:tcPr>
            <w:tcW w:w="1134" w:type="dxa"/>
            <w:tcBorders>
              <w:top w:val="single" w:sz="12" w:space="0" w:color="auto"/>
              <w:left w:val="single" w:sz="12" w:space="0" w:color="000000"/>
              <w:bottom w:val="nil"/>
              <w:right w:val="single" w:sz="2" w:space="0" w:color="000000"/>
            </w:tcBorders>
            <w:shd w:val="clear" w:color="000000" w:fill="FFFFFF"/>
            <w:vAlign w:val="center"/>
          </w:tcPr>
          <w:p w14:paraId="3A29FB8F" w14:textId="77777777" w:rsidR="001676E4" w:rsidRPr="005952CC" w:rsidRDefault="001676E4" w:rsidP="003D66E5">
            <w:pPr>
              <w:jc w:val="right"/>
              <w:rPr>
                <w:rFonts w:cs="Arial"/>
                <w:color w:val="000000"/>
                <w:sz w:val="18"/>
                <w:szCs w:val="18"/>
              </w:rPr>
            </w:pPr>
            <w:r w:rsidRPr="005952CC">
              <w:rPr>
                <w:rFonts w:cs="Arial"/>
                <w:color w:val="000000"/>
                <w:sz w:val="18"/>
                <w:szCs w:val="18"/>
              </w:rPr>
              <w:t>28,7</w:t>
            </w:r>
          </w:p>
        </w:tc>
        <w:tc>
          <w:tcPr>
            <w:tcW w:w="992" w:type="dxa"/>
            <w:tcBorders>
              <w:top w:val="single" w:sz="12" w:space="0" w:color="auto"/>
              <w:left w:val="single" w:sz="2" w:space="0" w:color="000000"/>
              <w:bottom w:val="nil"/>
              <w:right w:val="single" w:sz="2" w:space="0" w:color="000000"/>
            </w:tcBorders>
            <w:shd w:val="clear" w:color="000000" w:fill="FFFFFF"/>
            <w:vAlign w:val="center"/>
          </w:tcPr>
          <w:p w14:paraId="77A480E7" w14:textId="77777777" w:rsidR="001676E4" w:rsidRPr="005952CC" w:rsidRDefault="001676E4" w:rsidP="003D66E5">
            <w:pPr>
              <w:jc w:val="right"/>
              <w:rPr>
                <w:rFonts w:cs="Arial"/>
                <w:color w:val="000000"/>
                <w:sz w:val="18"/>
                <w:szCs w:val="18"/>
              </w:rPr>
            </w:pPr>
            <w:r w:rsidRPr="005952CC">
              <w:rPr>
                <w:rFonts w:cs="Arial"/>
                <w:color w:val="000000"/>
                <w:sz w:val="18"/>
                <w:szCs w:val="18"/>
              </w:rPr>
              <w:t>28,0</w:t>
            </w:r>
          </w:p>
        </w:tc>
        <w:tc>
          <w:tcPr>
            <w:tcW w:w="1134" w:type="dxa"/>
            <w:tcBorders>
              <w:top w:val="single" w:sz="12" w:space="0" w:color="auto"/>
              <w:left w:val="single" w:sz="2" w:space="0" w:color="000000"/>
              <w:bottom w:val="nil"/>
              <w:right w:val="single" w:sz="2" w:space="0" w:color="000000"/>
            </w:tcBorders>
            <w:shd w:val="clear" w:color="000000" w:fill="FFFFFF"/>
            <w:vAlign w:val="center"/>
          </w:tcPr>
          <w:p w14:paraId="7CF20398" w14:textId="77777777" w:rsidR="001676E4" w:rsidRPr="005952CC" w:rsidRDefault="001676E4" w:rsidP="003D66E5">
            <w:pPr>
              <w:jc w:val="right"/>
              <w:rPr>
                <w:rFonts w:cs="Arial"/>
                <w:color w:val="000000"/>
                <w:sz w:val="18"/>
                <w:szCs w:val="18"/>
              </w:rPr>
            </w:pPr>
            <w:r w:rsidRPr="005952CC">
              <w:rPr>
                <w:rFonts w:cs="Arial"/>
                <w:color w:val="000000"/>
                <w:sz w:val="18"/>
                <w:szCs w:val="18"/>
              </w:rPr>
              <w:t>18,1</w:t>
            </w:r>
          </w:p>
        </w:tc>
        <w:tc>
          <w:tcPr>
            <w:tcW w:w="970" w:type="dxa"/>
            <w:tcBorders>
              <w:top w:val="single" w:sz="12" w:space="0" w:color="auto"/>
              <w:left w:val="single" w:sz="2" w:space="0" w:color="000000"/>
              <w:bottom w:val="nil"/>
              <w:right w:val="single" w:sz="2" w:space="0" w:color="000000"/>
            </w:tcBorders>
            <w:shd w:val="clear" w:color="000000" w:fill="FFFFFF"/>
            <w:vAlign w:val="center"/>
          </w:tcPr>
          <w:p w14:paraId="6B80CACA" w14:textId="77777777" w:rsidR="001676E4" w:rsidRPr="005952CC" w:rsidRDefault="001676E4" w:rsidP="003D66E5">
            <w:pPr>
              <w:jc w:val="right"/>
              <w:rPr>
                <w:rFonts w:cs="Arial"/>
                <w:color w:val="000000"/>
                <w:sz w:val="18"/>
                <w:szCs w:val="18"/>
              </w:rPr>
            </w:pPr>
            <w:r w:rsidRPr="005952CC">
              <w:rPr>
                <w:rFonts w:cs="Arial"/>
                <w:color w:val="000000"/>
                <w:sz w:val="18"/>
                <w:szCs w:val="18"/>
              </w:rPr>
              <w:t>14,4</w:t>
            </w:r>
          </w:p>
        </w:tc>
        <w:tc>
          <w:tcPr>
            <w:tcW w:w="1073" w:type="dxa"/>
            <w:tcBorders>
              <w:top w:val="single" w:sz="12" w:space="0" w:color="auto"/>
              <w:left w:val="single" w:sz="2" w:space="0" w:color="000000"/>
              <w:bottom w:val="nil"/>
              <w:right w:val="single" w:sz="12" w:space="0" w:color="000000"/>
            </w:tcBorders>
            <w:shd w:val="clear" w:color="000000" w:fill="FFFFFF"/>
            <w:vAlign w:val="center"/>
          </w:tcPr>
          <w:p w14:paraId="46F088DD" w14:textId="77777777" w:rsidR="001676E4" w:rsidRPr="005952CC" w:rsidRDefault="001676E4" w:rsidP="003D66E5">
            <w:pPr>
              <w:jc w:val="right"/>
              <w:rPr>
                <w:rFonts w:cs="Arial"/>
                <w:color w:val="000000"/>
                <w:sz w:val="18"/>
                <w:szCs w:val="18"/>
              </w:rPr>
            </w:pPr>
            <w:r w:rsidRPr="005952CC">
              <w:rPr>
                <w:rFonts w:cs="Arial"/>
                <w:color w:val="000000"/>
                <w:sz w:val="18"/>
                <w:szCs w:val="18"/>
              </w:rPr>
              <w:t>10,8</w:t>
            </w:r>
          </w:p>
        </w:tc>
      </w:tr>
      <w:tr w:rsidR="001676E4" w:rsidRPr="005952CC" w14:paraId="296AA3CD" w14:textId="77777777" w:rsidTr="003D66E5">
        <w:trPr>
          <w:cantSplit/>
          <w:trHeight w:val="340"/>
        </w:trPr>
        <w:tc>
          <w:tcPr>
            <w:tcW w:w="1418" w:type="dxa"/>
            <w:vMerge/>
            <w:tcBorders>
              <w:left w:val="single" w:sz="12" w:space="0" w:color="000000"/>
              <w:right w:val="single" w:sz="4" w:space="0" w:color="000000"/>
            </w:tcBorders>
            <w:shd w:val="clear" w:color="000000" w:fill="FFFFFF"/>
          </w:tcPr>
          <w:p w14:paraId="0EA92859"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nil"/>
              <w:right w:val="single" w:sz="12" w:space="0" w:color="000000"/>
            </w:tcBorders>
            <w:shd w:val="clear" w:color="000000" w:fill="FFFFFF"/>
            <w:vAlign w:val="center"/>
          </w:tcPr>
          <w:p w14:paraId="0A7DA84A"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Zły humor jeśli brak możliwości uczestnictwa w tych mediach</w:t>
            </w:r>
          </w:p>
        </w:tc>
        <w:tc>
          <w:tcPr>
            <w:tcW w:w="1134" w:type="dxa"/>
            <w:tcBorders>
              <w:top w:val="nil"/>
              <w:left w:val="single" w:sz="12" w:space="0" w:color="000000"/>
              <w:bottom w:val="nil"/>
              <w:right w:val="single" w:sz="2" w:space="0" w:color="000000"/>
            </w:tcBorders>
            <w:shd w:val="clear" w:color="000000" w:fill="FFFFFF"/>
            <w:vAlign w:val="center"/>
          </w:tcPr>
          <w:p w14:paraId="11ADDD14" w14:textId="77777777" w:rsidR="001676E4" w:rsidRPr="005952CC" w:rsidRDefault="001676E4" w:rsidP="003D66E5">
            <w:pPr>
              <w:jc w:val="right"/>
              <w:rPr>
                <w:rFonts w:cs="Arial"/>
                <w:color w:val="000000"/>
                <w:sz w:val="18"/>
                <w:szCs w:val="18"/>
              </w:rPr>
            </w:pPr>
            <w:r w:rsidRPr="005952CC">
              <w:rPr>
                <w:rFonts w:cs="Arial"/>
                <w:color w:val="000000"/>
                <w:sz w:val="18"/>
                <w:szCs w:val="18"/>
              </w:rPr>
              <w:t>6,6</w:t>
            </w:r>
          </w:p>
        </w:tc>
        <w:tc>
          <w:tcPr>
            <w:tcW w:w="992" w:type="dxa"/>
            <w:tcBorders>
              <w:top w:val="nil"/>
              <w:left w:val="single" w:sz="2" w:space="0" w:color="000000"/>
              <w:bottom w:val="nil"/>
              <w:right w:val="single" w:sz="2" w:space="0" w:color="000000"/>
            </w:tcBorders>
            <w:shd w:val="clear" w:color="000000" w:fill="FFFFFF"/>
            <w:vAlign w:val="center"/>
          </w:tcPr>
          <w:p w14:paraId="5606F299" w14:textId="77777777" w:rsidR="001676E4" w:rsidRPr="005952CC" w:rsidRDefault="001676E4" w:rsidP="003D66E5">
            <w:pPr>
              <w:jc w:val="right"/>
              <w:rPr>
                <w:rFonts w:cs="Arial"/>
                <w:color w:val="000000"/>
                <w:sz w:val="18"/>
                <w:szCs w:val="18"/>
              </w:rPr>
            </w:pPr>
            <w:r w:rsidRPr="005952CC">
              <w:rPr>
                <w:rFonts w:cs="Arial"/>
                <w:color w:val="000000"/>
                <w:sz w:val="18"/>
                <w:szCs w:val="18"/>
              </w:rPr>
              <w:t>9,4</w:t>
            </w:r>
          </w:p>
        </w:tc>
        <w:tc>
          <w:tcPr>
            <w:tcW w:w="1134" w:type="dxa"/>
            <w:tcBorders>
              <w:top w:val="nil"/>
              <w:left w:val="single" w:sz="2" w:space="0" w:color="000000"/>
              <w:bottom w:val="nil"/>
              <w:right w:val="single" w:sz="2" w:space="0" w:color="000000"/>
            </w:tcBorders>
            <w:shd w:val="clear" w:color="000000" w:fill="FFFFFF"/>
            <w:vAlign w:val="center"/>
          </w:tcPr>
          <w:p w14:paraId="6395C979" w14:textId="77777777" w:rsidR="001676E4" w:rsidRPr="005952CC" w:rsidRDefault="001676E4" w:rsidP="003D66E5">
            <w:pPr>
              <w:jc w:val="right"/>
              <w:rPr>
                <w:rFonts w:cs="Arial"/>
                <w:color w:val="000000"/>
                <w:sz w:val="18"/>
                <w:szCs w:val="18"/>
              </w:rPr>
            </w:pPr>
            <w:r w:rsidRPr="005952CC">
              <w:rPr>
                <w:rFonts w:cs="Arial"/>
                <w:color w:val="000000"/>
                <w:sz w:val="18"/>
                <w:szCs w:val="18"/>
              </w:rPr>
              <w:t>23,9</w:t>
            </w:r>
          </w:p>
        </w:tc>
        <w:tc>
          <w:tcPr>
            <w:tcW w:w="970" w:type="dxa"/>
            <w:tcBorders>
              <w:top w:val="nil"/>
              <w:left w:val="single" w:sz="2" w:space="0" w:color="000000"/>
              <w:bottom w:val="nil"/>
              <w:right w:val="single" w:sz="2" w:space="0" w:color="000000"/>
            </w:tcBorders>
            <w:shd w:val="clear" w:color="000000" w:fill="FFFFFF"/>
            <w:vAlign w:val="center"/>
          </w:tcPr>
          <w:p w14:paraId="045F0466" w14:textId="77777777" w:rsidR="001676E4" w:rsidRPr="005952CC" w:rsidRDefault="001676E4" w:rsidP="003D66E5">
            <w:pPr>
              <w:jc w:val="right"/>
              <w:rPr>
                <w:rFonts w:cs="Arial"/>
                <w:color w:val="000000"/>
                <w:sz w:val="18"/>
                <w:szCs w:val="18"/>
              </w:rPr>
            </w:pPr>
            <w:r w:rsidRPr="005952CC">
              <w:rPr>
                <w:rFonts w:cs="Arial"/>
                <w:color w:val="000000"/>
                <w:sz w:val="18"/>
                <w:szCs w:val="18"/>
              </w:rPr>
              <w:t>30,7</w:t>
            </w:r>
          </w:p>
        </w:tc>
        <w:tc>
          <w:tcPr>
            <w:tcW w:w="1073" w:type="dxa"/>
            <w:tcBorders>
              <w:top w:val="nil"/>
              <w:left w:val="single" w:sz="2" w:space="0" w:color="000000"/>
              <w:bottom w:val="nil"/>
              <w:right w:val="single" w:sz="12" w:space="0" w:color="000000"/>
            </w:tcBorders>
            <w:shd w:val="clear" w:color="000000" w:fill="FFFFFF"/>
            <w:vAlign w:val="center"/>
          </w:tcPr>
          <w:p w14:paraId="4C385D93" w14:textId="77777777" w:rsidR="001676E4" w:rsidRPr="005952CC" w:rsidRDefault="001676E4" w:rsidP="003D66E5">
            <w:pPr>
              <w:jc w:val="right"/>
              <w:rPr>
                <w:rFonts w:cs="Arial"/>
                <w:color w:val="000000"/>
                <w:sz w:val="18"/>
                <w:szCs w:val="18"/>
              </w:rPr>
            </w:pPr>
            <w:r w:rsidRPr="005952CC">
              <w:rPr>
                <w:rFonts w:cs="Arial"/>
                <w:color w:val="000000"/>
                <w:sz w:val="18"/>
                <w:szCs w:val="18"/>
              </w:rPr>
              <w:t>29,4</w:t>
            </w:r>
          </w:p>
        </w:tc>
      </w:tr>
      <w:tr w:rsidR="001676E4" w:rsidRPr="005952CC" w14:paraId="448335B6" w14:textId="77777777" w:rsidTr="003D66E5">
        <w:trPr>
          <w:cantSplit/>
          <w:trHeight w:val="340"/>
        </w:trPr>
        <w:tc>
          <w:tcPr>
            <w:tcW w:w="1418" w:type="dxa"/>
            <w:vMerge/>
            <w:tcBorders>
              <w:left w:val="single" w:sz="12" w:space="0" w:color="000000"/>
              <w:bottom w:val="single" w:sz="12" w:space="0" w:color="000000"/>
              <w:right w:val="single" w:sz="4" w:space="0" w:color="000000"/>
            </w:tcBorders>
            <w:shd w:val="clear" w:color="000000" w:fill="FFFFFF"/>
          </w:tcPr>
          <w:p w14:paraId="7B1AA950"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single" w:sz="12" w:space="0" w:color="auto"/>
              <w:right w:val="single" w:sz="12" w:space="0" w:color="000000"/>
            </w:tcBorders>
            <w:shd w:val="clear" w:color="000000" w:fill="FFFFFF"/>
            <w:vAlign w:val="center"/>
          </w:tcPr>
          <w:p w14:paraId="48DE6AF5"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rodziców, że spędza się za dużo czasu w tych mediach</w:t>
            </w:r>
          </w:p>
        </w:tc>
        <w:tc>
          <w:tcPr>
            <w:tcW w:w="1134" w:type="dxa"/>
            <w:tcBorders>
              <w:top w:val="nil"/>
              <w:left w:val="single" w:sz="12" w:space="0" w:color="000000"/>
              <w:bottom w:val="single" w:sz="12" w:space="0" w:color="auto"/>
              <w:right w:val="single" w:sz="2" w:space="0" w:color="000000"/>
            </w:tcBorders>
            <w:shd w:val="clear" w:color="000000" w:fill="FFFFFF"/>
            <w:vAlign w:val="center"/>
          </w:tcPr>
          <w:p w14:paraId="17BA0D73" w14:textId="77777777" w:rsidR="001676E4" w:rsidRPr="005952CC" w:rsidRDefault="001676E4" w:rsidP="003D66E5">
            <w:pPr>
              <w:jc w:val="right"/>
              <w:rPr>
                <w:rFonts w:cs="Arial"/>
                <w:color w:val="000000"/>
                <w:sz w:val="18"/>
                <w:szCs w:val="18"/>
              </w:rPr>
            </w:pPr>
            <w:r w:rsidRPr="005952CC">
              <w:rPr>
                <w:rFonts w:cs="Arial"/>
                <w:color w:val="000000"/>
                <w:sz w:val="18"/>
                <w:szCs w:val="18"/>
              </w:rPr>
              <w:t>14,8</w:t>
            </w:r>
          </w:p>
        </w:tc>
        <w:tc>
          <w:tcPr>
            <w:tcW w:w="992" w:type="dxa"/>
            <w:tcBorders>
              <w:top w:val="nil"/>
              <w:left w:val="single" w:sz="2" w:space="0" w:color="000000"/>
              <w:bottom w:val="single" w:sz="12" w:space="0" w:color="auto"/>
              <w:right w:val="single" w:sz="2" w:space="0" w:color="000000"/>
            </w:tcBorders>
            <w:shd w:val="clear" w:color="000000" w:fill="FFFFFF"/>
            <w:vAlign w:val="center"/>
          </w:tcPr>
          <w:p w14:paraId="57A2C373" w14:textId="77777777" w:rsidR="001676E4" w:rsidRPr="005952CC" w:rsidRDefault="001676E4" w:rsidP="003D66E5">
            <w:pPr>
              <w:jc w:val="right"/>
              <w:rPr>
                <w:rFonts w:cs="Arial"/>
                <w:color w:val="000000"/>
                <w:sz w:val="18"/>
                <w:szCs w:val="18"/>
              </w:rPr>
            </w:pPr>
            <w:r w:rsidRPr="005952CC">
              <w:rPr>
                <w:rFonts w:cs="Arial"/>
                <w:color w:val="000000"/>
                <w:sz w:val="18"/>
                <w:szCs w:val="18"/>
              </w:rPr>
              <w:t>18,1</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1A310858" w14:textId="77777777" w:rsidR="001676E4" w:rsidRPr="005952CC" w:rsidRDefault="001676E4" w:rsidP="003D66E5">
            <w:pPr>
              <w:jc w:val="right"/>
              <w:rPr>
                <w:rFonts w:cs="Arial"/>
                <w:color w:val="000000"/>
                <w:sz w:val="18"/>
                <w:szCs w:val="18"/>
              </w:rPr>
            </w:pPr>
            <w:r w:rsidRPr="005952CC">
              <w:rPr>
                <w:rFonts w:cs="Arial"/>
                <w:color w:val="000000"/>
                <w:sz w:val="18"/>
                <w:szCs w:val="18"/>
              </w:rPr>
              <w:t>19,8</w:t>
            </w:r>
          </w:p>
        </w:tc>
        <w:tc>
          <w:tcPr>
            <w:tcW w:w="970" w:type="dxa"/>
            <w:tcBorders>
              <w:top w:val="nil"/>
              <w:left w:val="single" w:sz="2" w:space="0" w:color="000000"/>
              <w:bottom w:val="single" w:sz="12" w:space="0" w:color="auto"/>
              <w:right w:val="single" w:sz="2" w:space="0" w:color="000000"/>
            </w:tcBorders>
            <w:shd w:val="clear" w:color="000000" w:fill="FFFFFF"/>
            <w:vAlign w:val="center"/>
          </w:tcPr>
          <w:p w14:paraId="6619CB38" w14:textId="77777777" w:rsidR="001676E4" w:rsidRPr="005952CC" w:rsidRDefault="001676E4" w:rsidP="003D66E5">
            <w:pPr>
              <w:jc w:val="right"/>
              <w:rPr>
                <w:rFonts w:cs="Arial"/>
                <w:color w:val="000000"/>
                <w:sz w:val="18"/>
                <w:szCs w:val="18"/>
              </w:rPr>
            </w:pPr>
            <w:r w:rsidRPr="005952CC">
              <w:rPr>
                <w:rFonts w:cs="Arial"/>
                <w:color w:val="000000"/>
                <w:sz w:val="18"/>
                <w:szCs w:val="18"/>
              </w:rPr>
              <w:t>22,8</w:t>
            </w:r>
          </w:p>
        </w:tc>
        <w:tc>
          <w:tcPr>
            <w:tcW w:w="1073" w:type="dxa"/>
            <w:tcBorders>
              <w:top w:val="nil"/>
              <w:left w:val="single" w:sz="2" w:space="0" w:color="000000"/>
              <w:bottom w:val="single" w:sz="12" w:space="0" w:color="auto"/>
              <w:right w:val="single" w:sz="12" w:space="0" w:color="000000"/>
            </w:tcBorders>
            <w:shd w:val="clear" w:color="000000" w:fill="FFFFFF"/>
            <w:vAlign w:val="center"/>
          </w:tcPr>
          <w:p w14:paraId="0696067A" w14:textId="77777777" w:rsidR="001676E4" w:rsidRPr="005952CC" w:rsidRDefault="001676E4" w:rsidP="003D66E5">
            <w:pPr>
              <w:jc w:val="right"/>
              <w:rPr>
                <w:rFonts w:cs="Arial"/>
                <w:color w:val="000000"/>
                <w:sz w:val="18"/>
                <w:szCs w:val="18"/>
              </w:rPr>
            </w:pPr>
            <w:r w:rsidRPr="005952CC">
              <w:rPr>
                <w:rFonts w:cs="Arial"/>
                <w:color w:val="000000"/>
                <w:sz w:val="18"/>
                <w:szCs w:val="18"/>
              </w:rPr>
              <w:t>24,5</w:t>
            </w:r>
          </w:p>
        </w:tc>
      </w:tr>
    </w:tbl>
    <w:p w14:paraId="67DCDCF8"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78B05437" w14:textId="540131D4" w:rsidR="001676E4" w:rsidRPr="00A43860" w:rsidRDefault="001676E4" w:rsidP="001676E4">
      <w:pPr>
        <w:pStyle w:val="Legenda"/>
        <w:keepNext/>
        <w:spacing w:before="240"/>
        <w:rPr>
          <w:sz w:val="20"/>
          <w:szCs w:val="16"/>
        </w:rPr>
      </w:pPr>
      <w:bookmarkStart w:id="113" w:name="_Toc214279717"/>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32</w:t>
      </w:r>
      <w:r w:rsidRPr="00A43860">
        <w:rPr>
          <w:sz w:val="20"/>
          <w:szCs w:val="16"/>
        </w:rPr>
        <w:fldChar w:fldCharType="end"/>
      </w:r>
      <w:r w:rsidRPr="00A43860">
        <w:rPr>
          <w:sz w:val="20"/>
          <w:szCs w:val="16"/>
        </w:rPr>
        <w:t>. Symptomy nadmiernego korzystania z mediów społecznościowych, takich jak Twitter, Facebook, Skype (Polska).</w:t>
      </w:r>
      <w:bookmarkEnd w:id="113"/>
    </w:p>
    <w:tbl>
      <w:tblPr>
        <w:tblW w:w="9698" w:type="dxa"/>
        <w:tblInd w:w="93" w:type="dxa"/>
        <w:tblLayout w:type="fixed"/>
        <w:tblCellMar>
          <w:left w:w="93" w:type="dxa"/>
          <w:right w:w="93" w:type="dxa"/>
        </w:tblCellMar>
        <w:tblLook w:val="0000" w:firstRow="0" w:lastRow="0" w:firstColumn="0" w:lastColumn="0" w:noHBand="0" w:noVBand="0"/>
      </w:tblPr>
      <w:tblGrid>
        <w:gridCol w:w="1418"/>
        <w:gridCol w:w="2977"/>
        <w:gridCol w:w="1134"/>
        <w:gridCol w:w="992"/>
        <w:gridCol w:w="1134"/>
        <w:gridCol w:w="970"/>
        <w:gridCol w:w="1073"/>
      </w:tblGrid>
      <w:tr w:rsidR="001676E4" w:rsidRPr="0092722E" w14:paraId="5942DCE0" w14:textId="77777777" w:rsidTr="003D66E5">
        <w:trPr>
          <w:trHeight w:val="340"/>
        </w:trPr>
        <w:tc>
          <w:tcPr>
            <w:tcW w:w="1418" w:type="dxa"/>
            <w:tcBorders>
              <w:top w:val="single" w:sz="12" w:space="0" w:color="000000"/>
              <w:left w:val="single" w:sz="12" w:space="0" w:color="000000"/>
              <w:bottom w:val="single" w:sz="12" w:space="0" w:color="000000"/>
              <w:right w:val="single" w:sz="4" w:space="0" w:color="000000"/>
            </w:tcBorders>
            <w:shd w:val="clear" w:color="000000" w:fill="FFFFFF"/>
            <w:vAlign w:val="bottom"/>
          </w:tcPr>
          <w:p w14:paraId="1F9BBEAA"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Kohorta</w:t>
            </w:r>
          </w:p>
        </w:tc>
        <w:tc>
          <w:tcPr>
            <w:tcW w:w="2977" w:type="dxa"/>
            <w:tcBorders>
              <w:top w:val="single" w:sz="12" w:space="0" w:color="000000"/>
              <w:left w:val="single" w:sz="4" w:space="0" w:color="000000"/>
              <w:bottom w:val="single" w:sz="12" w:space="0" w:color="000000"/>
              <w:right w:val="single" w:sz="12" w:space="0" w:color="000000"/>
            </w:tcBorders>
            <w:shd w:val="clear" w:color="000000" w:fill="FFFFFF"/>
            <w:vAlign w:val="bottom"/>
          </w:tcPr>
          <w:p w14:paraId="34EE3CD3" w14:textId="77777777" w:rsidR="001676E4" w:rsidRPr="0092722E" w:rsidRDefault="001676E4" w:rsidP="003D66E5">
            <w:pPr>
              <w:widowControl w:val="0"/>
              <w:autoSpaceDE w:val="0"/>
              <w:autoSpaceDN w:val="0"/>
              <w:adjustRightInd w:val="0"/>
              <w:jc w:val="center"/>
              <w:rPr>
                <w:rFonts w:cs="Arial"/>
                <w:b/>
                <w:bCs/>
                <w:color w:val="000000"/>
                <w:sz w:val="18"/>
                <w:szCs w:val="18"/>
              </w:rPr>
            </w:pPr>
          </w:p>
        </w:tc>
        <w:tc>
          <w:tcPr>
            <w:tcW w:w="1134"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32A045EB"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tak</w:t>
            </w:r>
          </w:p>
        </w:tc>
        <w:tc>
          <w:tcPr>
            <w:tcW w:w="992"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49A704FD"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tak</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277735BA"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Ani tak, ani nie</w:t>
            </w:r>
          </w:p>
        </w:tc>
        <w:tc>
          <w:tcPr>
            <w:tcW w:w="97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2354F5EA"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nie</w:t>
            </w:r>
          </w:p>
        </w:tc>
        <w:tc>
          <w:tcPr>
            <w:tcW w:w="1073"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0D6AE794"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nie</w:t>
            </w:r>
          </w:p>
        </w:tc>
      </w:tr>
      <w:tr w:rsidR="001676E4" w:rsidRPr="005952CC" w14:paraId="0C4133A1" w14:textId="77777777" w:rsidTr="003D66E5">
        <w:trPr>
          <w:cantSplit/>
          <w:trHeight w:val="340"/>
        </w:trPr>
        <w:tc>
          <w:tcPr>
            <w:tcW w:w="1418" w:type="dxa"/>
            <w:vMerge w:val="restart"/>
            <w:tcBorders>
              <w:top w:val="single" w:sz="12" w:space="0" w:color="000000"/>
              <w:left w:val="single" w:sz="12" w:space="0" w:color="000000"/>
              <w:right w:val="single" w:sz="4" w:space="0" w:color="000000"/>
            </w:tcBorders>
            <w:shd w:val="clear" w:color="000000" w:fill="FFFFFF"/>
          </w:tcPr>
          <w:p w14:paraId="75205B7B"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Młodsza kohorta (15-16 lat)</w:t>
            </w:r>
          </w:p>
          <w:p w14:paraId="75628347"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 xml:space="preserve"> </w:t>
            </w:r>
          </w:p>
        </w:tc>
        <w:tc>
          <w:tcPr>
            <w:tcW w:w="2977" w:type="dxa"/>
            <w:tcBorders>
              <w:top w:val="single" w:sz="12" w:space="0" w:color="000000"/>
              <w:left w:val="single" w:sz="4" w:space="0" w:color="000000"/>
              <w:bottom w:val="nil"/>
              <w:right w:val="single" w:sz="12" w:space="0" w:color="000000"/>
            </w:tcBorders>
            <w:shd w:val="clear" w:color="000000" w:fill="FFFFFF"/>
            <w:vAlign w:val="center"/>
          </w:tcPr>
          <w:p w14:paraId="5F5335E6"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że spędza się za dużo czasu w tych mediach</w:t>
            </w:r>
          </w:p>
        </w:tc>
        <w:tc>
          <w:tcPr>
            <w:tcW w:w="1134" w:type="dxa"/>
            <w:tcBorders>
              <w:top w:val="single" w:sz="12" w:space="0" w:color="000000"/>
              <w:left w:val="single" w:sz="12" w:space="0" w:color="000000"/>
              <w:bottom w:val="nil"/>
              <w:right w:val="single" w:sz="2" w:space="0" w:color="000000"/>
            </w:tcBorders>
            <w:shd w:val="clear" w:color="000000" w:fill="FFFFFF"/>
            <w:vAlign w:val="center"/>
          </w:tcPr>
          <w:p w14:paraId="1647A32E" w14:textId="77777777" w:rsidR="001676E4" w:rsidRPr="005952CC" w:rsidRDefault="001676E4" w:rsidP="003D66E5">
            <w:pPr>
              <w:jc w:val="right"/>
              <w:rPr>
                <w:rFonts w:cs="Arial"/>
                <w:color w:val="000000"/>
                <w:sz w:val="18"/>
                <w:szCs w:val="18"/>
              </w:rPr>
            </w:pPr>
            <w:r w:rsidRPr="005952CC">
              <w:rPr>
                <w:rFonts w:cs="Arial"/>
                <w:color w:val="000000"/>
                <w:sz w:val="18"/>
                <w:szCs w:val="18"/>
              </w:rPr>
              <w:t>23,7</w:t>
            </w:r>
          </w:p>
        </w:tc>
        <w:tc>
          <w:tcPr>
            <w:tcW w:w="992" w:type="dxa"/>
            <w:tcBorders>
              <w:top w:val="single" w:sz="12" w:space="0" w:color="000000"/>
              <w:left w:val="single" w:sz="2" w:space="0" w:color="000000"/>
              <w:bottom w:val="nil"/>
              <w:right w:val="single" w:sz="2" w:space="0" w:color="000000"/>
            </w:tcBorders>
            <w:shd w:val="clear" w:color="000000" w:fill="FFFFFF"/>
            <w:vAlign w:val="center"/>
          </w:tcPr>
          <w:p w14:paraId="554BE165" w14:textId="77777777" w:rsidR="001676E4" w:rsidRPr="005952CC" w:rsidRDefault="001676E4" w:rsidP="003D66E5">
            <w:pPr>
              <w:jc w:val="right"/>
              <w:rPr>
                <w:rFonts w:cs="Arial"/>
                <w:color w:val="000000"/>
                <w:sz w:val="18"/>
                <w:szCs w:val="18"/>
              </w:rPr>
            </w:pPr>
            <w:r w:rsidRPr="005952CC">
              <w:rPr>
                <w:rFonts w:cs="Arial"/>
                <w:color w:val="000000"/>
                <w:sz w:val="18"/>
                <w:szCs w:val="18"/>
              </w:rPr>
              <w:t>26,9</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5B12B6AF" w14:textId="77777777" w:rsidR="001676E4" w:rsidRPr="005952CC" w:rsidRDefault="001676E4" w:rsidP="003D66E5">
            <w:pPr>
              <w:jc w:val="right"/>
              <w:rPr>
                <w:rFonts w:cs="Arial"/>
                <w:color w:val="000000"/>
                <w:sz w:val="18"/>
                <w:szCs w:val="18"/>
              </w:rPr>
            </w:pPr>
            <w:r w:rsidRPr="005952CC">
              <w:rPr>
                <w:rFonts w:cs="Arial"/>
                <w:color w:val="000000"/>
                <w:sz w:val="18"/>
                <w:szCs w:val="18"/>
              </w:rPr>
              <w:t>22,3</w:t>
            </w:r>
          </w:p>
        </w:tc>
        <w:tc>
          <w:tcPr>
            <w:tcW w:w="970" w:type="dxa"/>
            <w:tcBorders>
              <w:top w:val="single" w:sz="12" w:space="0" w:color="000000"/>
              <w:left w:val="single" w:sz="2" w:space="0" w:color="000000"/>
              <w:bottom w:val="nil"/>
              <w:right w:val="single" w:sz="2" w:space="0" w:color="000000"/>
            </w:tcBorders>
            <w:shd w:val="clear" w:color="000000" w:fill="FFFFFF"/>
            <w:vAlign w:val="center"/>
          </w:tcPr>
          <w:p w14:paraId="77F72CFD" w14:textId="77777777" w:rsidR="001676E4" w:rsidRPr="005952CC" w:rsidRDefault="001676E4" w:rsidP="003D66E5">
            <w:pPr>
              <w:jc w:val="right"/>
              <w:rPr>
                <w:rFonts w:cs="Arial"/>
                <w:color w:val="000000"/>
                <w:sz w:val="18"/>
                <w:szCs w:val="18"/>
              </w:rPr>
            </w:pPr>
            <w:r w:rsidRPr="005952CC">
              <w:rPr>
                <w:rFonts w:cs="Arial"/>
                <w:color w:val="000000"/>
                <w:sz w:val="18"/>
                <w:szCs w:val="18"/>
              </w:rPr>
              <w:t>16,3</w:t>
            </w:r>
          </w:p>
        </w:tc>
        <w:tc>
          <w:tcPr>
            <w:tcW w:w="1073" w:type="dxa"/>
            <w:tcBorders>
              <w:top w:val="single" w:sz="12" w:space="0" w:color="000000"/>
              <w:left w:val="single" w:sz="2" w:space="0" w:color="000000"/>
              <w:bottom w:val="nil"/>
              <w:right w:val="single" w:sz="12" w:space="0" w:color="000000"/>
            </w:tcBorders>
            <w:shd w:val="clear" w:color="000000" w:fill="FFFFFF"/>
            <w:vAlign w:val="center"/>
          </w:tcPr>
          <w:p w14:paraId="6085E8CF" w14:textId="77777777" w:rsidR="001676E4" w:rsidRPr="005952CC" w:rsidRDefault="001676E4" w:rsidP="003D66E5">
            <w:pPr>
              <w:jc w:val="right"/>
              <w:rPr>
                <w:rFonts w:cs="Arial"/>
                <w:color w:val="000000"/>
                <w:sz w:val="18"/>
                <w:szCs w:val="18"/>
              </w:rPr>
            </w:pPr>
            <w:r w:rsidRPr="005952CC">
              <w:rPr>
                <w:rFonts w:cs="Arial"/>
                <w:color w:val="000000"/>
                <w:sz w:val="18"/>
                <w:szCs w:val="18"/>
              </w:rPr>
              <w:t>10,9</w:t>
            </w:r>
          </w:p>
        </w:tc>
      </w:tr>
      <w:tr w:rsidR="001676E4" w:rsidRPr="005952CC" w14:paraId="61658FBF" w14:textId="77777777" w:rsidTr="003D66E5">
        <w:trPr>
          <w:cantSplit/>
          <w:trHeight w:val="340"/>
        </w:trPr>
        <w:tc>
          <w:tcPr>
            <w:tcW w:w="1418" w:type="dxa"/>
            <w:vMerge/>
            <w:tcBorders>
              <w:left w:val="single" w:sz="12" w:space="0" w:color="000000"/>
              <w:right w:val="single" w:sz="4" w:space="0" w:color="000000"/>
            </w:tcBorders>
            <w:shd w:val="clear" w:color="000000" w:fill="FFFFFF"/>
          </w:tcPr>
          <w:p w14:paraId="3C666694"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nil"/>
              <w:right w:val="single" w:sz="12" w:space="0" w:color="000000"/>
            </w:tcBorders>
            <w:shd w:val="clear" w:color="000000" w:fill="FFFFFF"/>
            <w:vAlign w:val="center"/>
          </w:tcPr>
          <w:p w14:paraId="3F7A135B"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Zły humor jeśli brak możliwości uczestnictwa w tych mediach</w:t>
            </w:r>
          </w:p>
        </w:tc>
        <w:tc>
          <w:tcPr>
            <w:tcW w:w="1134" w:type="dxa"/>
            <w:tcBorders>
              <w:top w:val="nil"/>
              <w:left w:val="single" w:sz="12" w:space="0" w:color="000000"/>
              <w:bottom w:val="nil"/>
              <w:right w:val="single" w:sz="2" w:space="0" w:color="000000"/>
            </w:tcBorders>
            <w:shd w:val="clear" w:color="000000" w:fill="FFFFFF"/>
            <w:vAlign w:val="center"/>
          </w:tcPr>
          <w:p w14:paraId="494570DC" w14:textId="77777777" w:rsidR="001676E4" w:rsidRPr="005952CC" w:rsidRDefault="001676E4" w:rsidP="003D66E5">
            <w:pPr>
              <w:jc w:val="right"/>
              <w:rPr>
                <w:rFonts w:cs="Arial"/>
                <w:color w:val="000000"/>
                <w:sz w:val="18"/>
                <w:szCs w:val="18"/>
              </w:rPr>
            </w:pPr>
            <w:r w:rsidRPr="005952CC">
              <w:rPr>
                <w:rFonts w:cs="Arial"/>
                <w:color w:val="000000"/>
                <w:sz w:val="18"/>
                <w:szCs w:val="18"/>
              </w:rPr>
              <w:t>6,7</w:t>
            </w:r>
          </w:p>
        </w:tc>
        <w:tc>
          <w:tcPr>
            <w:tcW w:w="992" w:type="dxa"/>
            <w:tcBorders>
              <w:top w:val="nil"/>
              <w:left w:val="single" w:sz="2" w:space="0" w:color="000000"/>
              <w:bottom w:val="nil"/>
              <w:right w:val="single" w:sz="2" w:space="0" w:color="000000"/>
            </w:tcBorders>
            <w:shd w:val="clear" w:color="000000" w:fill="FFFFFF"/>
            <w:vAlign w:val="center"/>
          </w:tcPr>
          <w:p w14:paraId="080789DB" w14:textId="77777777" w:rsidR="001676E4" w:rsidRPr="005952CC" w:rsidRDefault="001676E4" w:rsidP="003D66E5">
            <w:pPr>
              <w:jc w:val="right"/>
              <w:rPr>
                <w:rFonts w:cs="Arial"/>
                <w:color w:val="000000"/>
                <w:sz w:val="18"/>
                <w:szCs w:val="18"/>
              </w:rPr>
            </w:pPr>
            <w:r w:rsidRPr="005952CC">
              <w:rPr>
                <w:rFonts w:cs="Arial"/>
                <w:color w:val="000000"/>
                <w:sz w:val="18"/>
                <w:szCs w:val="18"/>
              </w:rPr>
              <w:t>9,9</w:t>
            </w:r>
          </w:p>
        </w:tc>
        <w:tc>
          <w:tcPr>
            <w:tcW w:w="1134" w:type="dxa"/>
            <w:tcBorders>
              <w:top w:val="nil"/>
              <w:left w:val="single" w:sz="2" w:space="0" w:color="000000"/>
              <w:bottom w:val="nil"/>
              <w:right w:val="single" w:sz="2" w:space="0" w:color="000000"/>
            </w:tcBorders>
            <w:shd w:val="clear" w:color="000000" w:fill="FFFFFF"/>
            <w:vAlign w:val="center"/>
          </w:tcPr>
          <w:p w14:paraId="2440598C" w14:textId="77777777" w:rsidR="001676E4" w:rsidRPr="005952CC" w:rsidRDefault="001676E4" w:rsidP="003D66E5">
            <w:pPr>
              <w:jc w:val="right"/>
              <w:rPr>
                <w:rFonts w:cs="Arial"/>
                <w:color w:val="000000"/>
                <w:sz w:val="18"/>
                <w:szCs w:val="18"/>
              </w:rPr>
            </w:pPr>
            <w:r w:rsidRPr="005952CC">
              <w:rPr>
                <w:rFonts w:cs="Arial"/>
                <w:color w:val="000000"/>
                <w:sz w:val="18"/>
                <w:szCs w:val="18"/>
              </w:rPr>
              <w:t>22,2</w:t>
            </w:r>
          </w:p>
        </w:tc>
        <w:tc>
          <w:tcPr>
            <w:tcW w:w="970" w:type="dxa"/>
            <w:tcBorders>
              <w:top w:val="nil"/>
              <w:left w:val="single" w:sz="2" w:space="0" w:color="000000"/>
              <w:bottom w:val="nil"/>
              <w:right w:val="single" w:sz="2" w:space="0" w:color="000000"/>
            </w:tcBorders>
            <w:shd w:val="clear" w:color="000000" w:fill="FFFFFF"/>
            <w:vAlign w:val="center"/>
          </w:tcPr>
          <w:p w14:paraId="53B8122C" w14:textId="77777777" w:rsidR="001676E4" w:rsidRPr="005952CC" w:rsidRDefault="001676E4" w:rsidP="003D66E5">
            <w:pPr>
              <w:jc w:val="right"/>
              <w:rPr>
                <w:rFonts w:cs="Arial"/>
                <w:color w:val="000000"/>
                <w:sz w:val="18"/>
                <w:szCs w:val="18"/>
              </w:rPr>
            </w:pPr>
            <w:r w:rsidRPr="005952CC">
              <w:rPr>
                <w:rFonts w:cs="Arial"/>
                <w:color w:val="000000"/>
                <w:sz w:val="18"/>
                <w:szCs w:val="18"/>
              </w:rPr>
              <w:t>32,1</w:t>
            </w:r>
          </w:p>
        </w:tc>
        <w:tc>
          <w:tcPr>
            <w:tcW w:w="1073" w:type="dxa"/>
            <w:tcBorders>
              <w:top w:val="nil"/>
              <w:left w:val="single" w:sz="2" w:space="0" w:color="000000"/>
              <w:bottom w:val="nil"/>
              <w:right w:val="single" w:sz="12" w:space="0" w:color="000000"/>
            </w:tcBorders>
            <w:shd w:val="clear" w:color="000000" w:fill="FFFFFF"/>
            <w:vAlign w:val="center"/>
          </w:tcPr>
          <w:p w14:paraId="579DF24E" w14:textId="77777777" w:rsidR="001676E4" w:rsidRPr="005952CC" w:rsidRDefault="001676E4" w:rsidP="003D66E5">
            <w:pPr>
              <w:jc w:val="right"/>
              <w:rPr>
                <w:rFonts w:cs="Arial"/>
                <w:color w:val="000000"/>
                <w:sz w:val="18"/>
                <w:szCs w:val="18"/>
              </w:rPr>
            </w:pPr>
            <w:r w:rsidRPr="005952CC">
              <w:rPr>
                <w:rFonts w:cs="Arial"/>
                <w:color w:val="000000"/>
                <w:sz w:val="18"/>
                <w:szCs w:val="18"/>
              </w:rPr>
              <w:t>29,1</w:t>
            </w:r>
          </w:p>
        </w:tc>
      </w:tr>
      <w:tr w:rsidR="001676E4" w:rsidRPr="005952CC" w14:paraId="250E30B7" w14:textId="77777777" w:rsidTr="003D66E5">
        <w:trPr>
          <w:cantSplit/>
          <w:trHeight w:val="340"/>
        </w:trPr>
        <w:tc>
          <w:tcPr>
            <w:tcW w:w="1418" w:type="dxa"/>
            <w:vMerge/>
            <w:tcBorders>
              <w:left w:val="single" w:sz="12" w:space="0" w:color="000000"/>
              <w:bottom w:val="single" w:sz="12" w:space="0" w:color="auto"/>
              <w:right w:val="single" w:sz="4" w:space="0" w:color="000000"/>
            </w:tcBorders>
            <w:shd w:val="clear" w:color="000000" w:fill="FFFFFF"/>
          </w:tcPr>
          <w:p w14:paraId="1048846E"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single" w:sz="12" w:space="0" w:color="auto"/>
              <w:right w:val="single" w:sz="12" w:space="0" w:color="000000"/>
            </w:tcBorders>
            <w:shd w:val="clear" w:color="000000" w:fill="FFFFFF"/>
            <w:vAlign w:val="center"/>
          </w:tcPr>
          <w:p w14:paraId="490D34F8"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rodziców, że spędza się za dużo czasu w tych mediach</w:t>
            </w:r>
          </w:p>
        </w:tc>
        <w:tc>
          <w:tcPr>
            <w:tcW w:w="1134" w:type="dxa"/>
            <w:tcBorders>
              <w:top w:val="nil"/>
              <w:left w:val="single" w:sz="12" w:space="0" w:color="000000"/>
              <w:bottom w:val="single" w:sz="12" w:space="0" w:color="auto"/>
              <w:right w:val="single" w:sz="2" w:space="0" w:color="000000"/>
            </w:tcBorders>
            <w:shd w:val="clear" w:color="000000" w:fill="FFFFFF"/>
            <w:vAlign w:val="center"/>
          </w:tcPr>
          <w:p w14:paraId="1AB5F31A" w14:textId="77777777" w:rsidR="001676E4" w:rsidRPr="005952CC" w:rsidRDefault="001676E4" w:rsidP="003D66E5">
            <w:pPr>
              <w:jc w:val="right"/>
              <w:rPr>
                <w:rFonts w:cs="Arial"/>
                <w:color w:val="000000"/>
                <w:sz w:val="18"/>
                <w:szCs w:val="18"/>
              </w:rPr>
            </w:pPr>
            <w:r w:rsidRPr="005952CC">
              <w:rPr>
                <w:rFonts w:cs="Arial"/>
                <w:color w:val="000000"/>
                <w:sz w:val="18"/>
                <w:szCs w:val="18"/>
              </w:rPr>
              <w:t>16,3</w:t>
            </w:r>
          </w:p>
        </w:tc>
        <w:tc>
          <w:tcPr>
            <w:tcW w:w="992" w:type="dxa"/>
            <w:tcBorders>
              <w:top w:val="nil"/>
              <w:left w:val="single" w:sz="2" w:space="0" w:color="000000"/>
              <w:bottom w:val="single" w:sz="12" w:space="0" w:color="auto"/>
              <w:right w:val="single" w:sz="2" w:space="0" w:color="000000"/>
            </w:tcBorders>
            <w:shd w:val="clear" w:color="000000" w:fill="FFFFFF"/>
            <w:vAlign w:val="center"/>
          </w:tcPr>
          <w:p w14:paraId="513BDA3A" w14:textId="77777777" w:rsidR="001676E4" w:rsidRPr="005952CC" w:rsidRDefault="001676E4" w:rsidP="003D66E5">
            <w:pPr>
              <w:jc w:val="right"/>
              <w:rPr>
                <w:rFonts w:cs="Arial"/>
                <w:color w:val="000000"/>
                <w:sz w:val="18"/>
                <w:szCs w:val="18"/>
              </w:rPr>
            </w:pPr>
            <w:r w:rsidRPr="005952CC">
              <w:rPr>
                <w:rFonts w:cs="Arial"/>
                <w:color w:val="000000"/>
                <w:sz w:val="18"/>
                <w:szCs w:val="18"/>
              </w:rPr>
              <w:t>21,0</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002FBC3D" w14:textId="77777777" w:rsidR="001676E4" w:rsidRPr="005952CC" w:rsidRDefault="001676E4" w:rsidP="003D66E5">
            <w:pPr>
              <w:jc w:val="right"/>
              <w:rPr>
                <w:rFonts w:cs="Arial"/>
                <w:color w:val="000000"/>
                <w:sz w:val="18"/>
                <w:szCs w:val="18"/>
              </w:rPr>
            </w:pPr>
            <w:r w:rsidRPr="005952CC">
              <w:rPr>
                <w:rFonts w:cs="Arial"/>
                <w:color w:val="000000"/>
                <w:sz w:val="18"/>
                <w:szCs w:val="18"/>
              </w:rPr>
              <w:t>18,8</w:t>
            </w:r>
          </w:p>
        </w:tc>
        <w:tc>
          <w:tcPr>
            <w:tcW w:w="970" w:type="dxa"/>
            <w:tcBorders>
              <w:top w:val="nil"/>
              <w:left w:val="single" w:sz="2" w:space="0" w:color="000000"/>
              <w:bottom w:val="single" w:sz="12" w:space="0" w:color="auto"/>
              <w:right w:val="single" w:sz="2" w:space="0" w:color="000000"/>
            </w:tcBorders>
            <w:shd w:val="clear" w:color="000000" w:fill="FFFFFF"/>
            <w:vAlign w:val="center"/>
          </w:tcPr>
          <w:p w14:paraId="4255297B" w14:textId="77777777" w:rsidR="001676E4" w:rsidRPr="005952CC" w:rsidRDefault="001676E4" w:rsidP="003D66E5">
            <w:pPr>
              <w:jc w:val="right"/>
              <w:rPr>
                <w:rFonts w:cs="Arial"/>
                <w:color w:val="000000"/>
                <w:sz w:val="18"/>
                <w:szCs w:val="18"/>
              </w:rPr>
            </w:pPr>
            <w:r w:rsidRPr="005952CC">
              <w:rPr>
                <w:rFonts w:cs="Arial"/>
                <w:color w:val="000000"/>
                <w:sz w:val="18"/>
                <w:szCs w:val="18"/>
              </w:rPr>
              <w:t>23,6</w:t>
            </w:r>
          </w:p>
        </w:tc>
        <w:tc>
          <w:tcPr>
            <w:tcW w:w="1073" w:type="dxa"/>
            <w:tcBorders>
              <w:top w:val="nil"/>
              <w:left w:val="single" w:sz="2" w:space="0" w:color="000000"/>
              <w:bottom w:val="single" w:sz="12" w:space="0" w:color="auto"/>
              <w:right w:val="single" w:sz="12" w:space="0" w:color="000000"/>
            </w:tcBorders>
            <w:shd w:val="clear" w:color="000000" w:fill="FFFFFF"/>
            <w:vAlign w:val="center"/>
          </w:tcPr>
          <w:p w14:paraId="58252BCD" w14:textId="77777777" w:rsidR="001676E4" w:rsidRPr="005952CC" w:rsidRDefault="001676E4" w:rsidP="003D66E5">
            <w:pPr>
              <w:jc w:val="right"/>
              <w:rPr>
                <w:rFonts w:cs="Arial"/>
                <w:color w:val="000000"/>
                <w:sz w:val="18"/>
                <w:szCs w:val="18"/>
              </w:rPr>
            </w:pPr>
            <w:r w:rsidRPr="005952CC">
              <w:rPr>
                <w:rFonts w:cs="Arial"/>
                <w:color w:val="000000"/>
                <w:sz w:val="18"/>
                <w:szCs w:val="18"/>
              </w:rPr>
              <w:t>20,3</w:t>
            </w:r>
          </w:p>
        </w:tc>
      </w:tr>
      <w:tr w:rsidR="001676E4" w:rsidRPr="005952CC" w14:paraId="05865C4F" w14:textId="77777777" w:rsidTr="003D66E5">
        <w:trPr>
          <w:cantSplit/>
          <w:trHeight w:val="340"/>
        </w:trPr>
        <w:tc>
          <w:tcPr>
            <w:tcW w:w="1418" w:type="dxa"/>
            <w:vMerge w:val="restart"/>
            <w:tcBorders>
              <w:top w:val="single" w:sz="12" w:space="0" w:color="auto"/>
              <w:left w:val="single" w:sz="12" w:space="0" w:color="000000"/>
              <w:right w:val="single" w:sz="4" w:space="0" w:color="000000"/>
            </w:tcBorders>
            <w:shd w:val="clear" w:color="000000" w:fill="FFFFFF"/>
          </w:tcPr>
          <w:p w14:paraId="2C6F9CC5"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Starsza kohorta (17-18 lat)</w:t>
            </w:r>
          </w:p>
          <w:p w14:paraId="50DE058F"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 xml:space="preserve"> </w:t>
            </w:r>
          </w:p>
        </w:tc>
        <w:tc>
          <w:tcPr>
            <w:tcW w:w="2977" w:type="dxa"/>
            <w:tcBorders>
              <w:top w:val="single" w:sz="12" w:space="0" w:color="auto"/>
              <w:left w:val="single" w:sz="4" w:space="0" w:color="000000"/>
              <w:bottom w:val="nil"/>
              <w:right w:val="single" w:sz="12" w:space="0" w:color="000000"/>
            </w:tcBorders>
            <w:shd w:val="clear" w:color="000000" w:fill="FFFFFF"/>
            <w:vAlign w:val="center"/>
          </w:tcPr>
          <w:p w14:paraId="7088308A"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że spędza się za dużo czasu w tych mediach</w:t>
            </w:r>
          </w:p>
        </w:tc>
        <w:tc>
          <w:tcPr>
            <w:tcW w:w="1134" w:type="dxa"/>
            <w:tcBorders>
              <w:top w:val="single" w:sz="12" w:space="0" w:color="auto"/>
              <w:left w:val="single" w:sz="12" w:space="0" w:color="000000"/>
              <w:bottom w:val="nil"/>
              <w:right w:val="single" w:sz="2" w:space="0" w:color="000000"/>
            </w:tcBorders>
            <w:shd w:val="clear" w:color="000000" w:fill="FFFFFF"/>
            <w:vAlign w:val="center"/>
          </w:tcPr>
          <w:p w14:paraId="33BB060F" w14:textId="77777777" w:rsidR="001676E4" w:rsidRPr="005952CC" w:rsidRDefault="001676E4" w:rsidP="003D66E5">
            <w:pPr>
              <w:jc w:val="right"/>
              <w:rPr>
                <w:rFonts w:cs="Arial"/>
                <w:color w:val="000000"/>
                <w:sz w:val="18"/>
                <w:szCs w:val="18"/>
              </w:rPr>
            </w:pPr>
            <w:r w:rsidRPr="005952CC">
              <w:rPr>
                <w:rFonts w:cs="Arial"/>
                <w:color w:val="000000"/>
                <w:sz w:val="18"/>
                <w:szCs w:val="18"/>
              </w:rPr>
              <w:t>27,6</w:t>
            </w:r>
          </w:p>
        </w:tc>
        <w:tc>
          <w:tcPr>
            <w:tcW w:w="992" w:type="dxa"/>
            <w:tcBorders>
              <w:top w:val="single" w:sz="12" w:space="0" w:color="auto"/>
              <w:left w:val="single" w:sz="2" w:space="0" w:color="000000"/>
              <w:bottom w:val="nil"/>
              <w:right w:val="single" w:sz="2" w:space="0" w:color="000000"/>
            </w:tcBorders>
            <w:shd w:val="clear" w:color="000000" w:fill="FFFFFF"/>
            <w:vAlign w:val="center"/>
          </w:tcPr>
          <w:p w14:paraId="28E444E4" w14:textId="77777777" w:rsidR="001676E4" w:rsidRPr="005952CC" w:rsidRDefault="001676E4" w:rsidP="003D66E5">
            <w:pPr>
              <w:jc w:val="right"/>
              <w:rPr>
                <w:rFonts w:cs="Arial"/>
                <w:color w:val="000000"/>
                <w:sz w:val="18"/>
                <w:szCs w:val="18"/>
              </w:rPr>
            </w:pPr>
            <w:r w:rsidRPr="005952CC">
              <w:rPr>
                <w:rFonts w:cs="Arial"/>
                <w:color w:val="000000"/>
                <w:sz w:val="18"/>
                <w:szCs w:val="18"/>
              </w:rPr>
              <w:t>27,6</w:t>
            </w:r>
          </w:p>
        </w:tc>
        <w:tc>
          <w:tcPr>
            <w:tcW w:w="1134" w:type="dxa"/>
            <w:tcBorders>
              <w:top w:val="single" w:sz="12" w:space="0" w:color="auto"/>
              <w:left w:val="single" w:sz="2" w:space="0" w:color="000000"/>
              <w:bottom w:val="nil"/>
              <w:right w:val="single" w:sz="2" w:space="0" w:color="000000"/>
            </w:tcBorders>
            <w:shd w:val="clear" w:color="000000" w:fill="FFFFFF"/>
            <w:vAlign w:val="center"/>
          </w:tcPr>
          <w:p w14:paraId="5833B7B1" w14:textId="77777777" w:rsidR="001676E4" w:rsidRPr="005952CC" w:rsidRDefault="001676E4" w:rsidP="003D66E5">
            <w:pPr>
              <w:jc w:val="right"/>
              <w:rPr>
                <w:rFonts w:cs="Arial"/>
                <w:color w:val="000000"/>
                <w:sz w:val="18"/>
                <w:szCs w:val="18"/>
              </w:rPr>
            </w:pPr>
            <w:r w:rsidRPr="005952CC">
              <w:rPr>
                <w:rFonts w:cs="Arial"/>
                <w:color w:val="000000"/>
                <w:sz w:val="18"/>
                <w:szCs w:val="18"/>
              </w:rPr>
              <w:t>19,7</w:t>
            </w:r>
          </w:p>
        </w:tc>
        <w:tc>
          <w:tcPr>
            <w:tcW w:w="970" w:type="dxa"/>
            <w:tcBorders>
              <w:top w:val="single" w:sz="12" w:space="0" w:color="auto"/>
              <w:left w:val="single" w:sz="2" w:space="0" w:color="000000"/>
              <w:bottom w:val="nil"/>
              <w:right w:val="single" w:sz="2" w:space="0" w:color="000000"/>
            </w:tcBorders>
            <w:shd w:val="clear" w:color="000000" w:fill="FFFFFF"/>
            <w:vAlign w:val="center"/>
          </w:tcPr>
          <w:p w14:paraId="531AEB79" w14:textId="77777777" w:rsidR="001676E4" w:rsidRPr="005952CC" w:rsidRDefault="001676E4" w:rsidP="003D66E5">
            <w:pPr>
              <w:jc w:val="right"/>
              <w:rPr>
                <w:rFonts w:cs="Arial"/>
                <w:color w:val="000000"/>
                <w:sz w:val="18"/>
                <w:szCs w:val="18"/>
              </w:rPr>
            </w:pPr>
            <w:r w:rsidRPr="005952CC">
              <w:rPr>
                <w:rFonts w:cs="Arial"/>
                <w:color w:val="000000"/>
                <w:sz w:val="18"/>
                <w:szCs w:val="18"/>
              </w:rPr>
              <w:t>15,8</w:t>
            </w:r>
          </w:p>
        </w:tc>
        <w:tc>
          <w:tcPr>
            <w:tcW w:w="1073" w:type="dxa"/>
            <w:tcBorders>
              <w:top w:val="single" w:sz="12" w:space="0" w:color="auto"/>
              <w:left w:val="single" w:sz="2" w:space="0" w:color="000000"/>
              <w:bottom w:val="nil"/>
              <w:right w:val="single" w:sz="12" w:space="0" w:color="000000"/>
            </w:tcBorders>
            <w:shd w:val="clear" w:color="000000" w:fill="FFFFFF"/>
            <w:vAlign w:val="center"/>
          </w:tcPr>
          <w:p w14:paraId="4AC8698E" w14:textId="77777777" w:rsidR="001676E4" w:rsidRPr="005952CC" w:rsidRDefault="001676E4" w:rsidP="003D66E5">
            <w:pPr>
              <w:jc w:val="right"/>
              <w:rPr>
                <w:rFonts w:cs="Arial"/>
                <w:color w:val="000000"/>
                <w:sz w:val="18"/>
                <w:szCs w:val="18"/>
              </w:rPr>
            </w:pPr>
            <w:r w:rsidRPr="005952CC">
              <w:rPr>
                <w:rFonts w:cs="Arial"/>
                <w:color w:val="000000"/>
                <w:sz w:val="18"/>
                <w:szCs w:val="18"/>
              </w:rPr>
              <w:t>9,2</w:t>
            </w:r>
          </w:p>
        </w:tc>
      </w:tr>
      <w:tr w:rsidR="001676E4" w:rsidRPr="005952CC" w14:paraId="0850F7BA" w14:textId="77777777" w:rsidTr="003D66E5">
        <w:trPr>
          <w:cantSplit/>
          <w:trHeight w:val="340"/>
        </w:trPr>
        <w:tc>
          <w:tcPr>
            <w:tcW w:w="1418" w:type="dxa"/>
            <w:vMerge/>
            <w:tcBorders>
              <w:left w:val="single" w:sz="12" w:space="0" w:color="000000"/>
              <w:right w:val="single" w:sz="4" w:space="0" w:color="000000"/>
            </w:tcBorders>
            <w:shd w:val="clear" w:color="000000" w:fill="FFFFFF"/>
          </w:tcPr>
          <w:p w14:paraId="0E8FEF82"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nil"/>
              <w:right w:val="single" w:sz="12" w:space="0" w:color="000000"/>
            </w:tcBorders>
            <w:shd w:val="clear" w:color="000000" w:fill="FFFFFF"/>
            <w:vAlign w:val="center"/>
          </w:tcPr>
          <w:p w14:paraId="42E41988"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Zły humor jeśli brak możliwości uczestnictwa w tych mediach</w:t>
            </w:r>
          </w:p>
        </w:tc>
        <w:tc>
          <w:tcPr>
            <w:tcW w:w="1134" w:type="dxa"/>
            <w:tcBorders>
              <w:top w:val="nil"/>
              <w:left w:val="single" w:sz="12" w:space="0" w:color="000000"/>
              <w:bottom w:val="nil"/>
              <w:right w:val="single" w:sz="2" w:space="0" w:color="000000"/>
            </w:tcBorders>
            <w:shd w:val="clear" w:color="000000" w:fill="FFFFFF"/>
            <w:vAlign w:val="center"/>
          </w:tcPr>
          <w:p w14:paraId="43B43EF0" w14:textId="77777777" w:rsidR="001676E4" w:rsidRPr="005952CC" w:rsidRDefault="001676E4" w:rsidP="003D66E5">
            <w:pPr>
              <w:jc w:val="right"/>
              <w:rPr>
                <w:rFonts w:cs="Arial"/>
                <w:color w:val="000000"/>
                <w:sz w:val="18"/>
                <w:szCs w:val="18"/>
              </w:rPr>
            </w:pPr>
            <w:r w:rsidRPr="005952CC">
              <w:rPr>
                <w:rFonts w:cs="Arial"/>
                <w:color w:val="000000"/>
                <w:sz w:val="18"/>
                <w:szCs w:val="18"/>
              </w:rPr>
              <w:t>4,6</w:t>
            </w:r>
          </w:p>
        </w:tc>
        <w:tc>
          <w:tcPr>
            <w:tcW w:w="992" w:type="dxa"/>
            <w:tcBorders>
              <w:top w:val="nil"/>
              <w:left w:val="single" w:sz="2" w:space="0" w:color="000000"/>
              <w:bottom w:val="nil"/>
              <w:right w:val="single" w:sz="2" w:space="0" w:color="000000"/>
            </w:tcBorders>
            <w:shd w:val="clear" w:color="000000" w:fill="FFFFFF"/>
            <w:vAlign w:val="center"/>
          </w:tcPr>
          <w:p w14:paraId="74DF506E" w14:textId="77777777" w:rsidR="001676E4" w:rsidRPr="005952CC" w:rsidRDefault="001676E4" w:rsidP="003D66E5">
            <w:pPr>
              <w:jc w:val="right"/>
              <w:rPr>
                <w:rFonts w:cs="Arial"/>
                <w:color w:val="000000"/>
                <w:sz w:val="18"/>
                <w:szCs w:val="18"/>
              </w:rPr>
            </w:pPr>
            <w:r w:rsidRPr="005952CC">
              <w:rPr>
                <w:rFonts w:cs="Arial"/>
                <w:color w:val="000000"/>
                <w:sz w:val="18"/>
                <w:szCs w:val="18"/>
              </w:rPr>
              <w:t>9,4</w:t>
            </w:r>
          </w:p>
        </w:tc>
        <w:tc>
          <w:tcPr>
            <w:tcW w:w="1134" w:type="dxa"/>
            <w:tcBorders>
              <w:top w:val="nil"/>
              <w:left w:val="single" w:sz="2" w:space="0" w:color="000000"/>
              <w:bottom w:val="nil"/>
              <w:right w:val="single" w:sz="2" w:space="0" w:color="000000"/>
            </w:tcBorders>
            <w:shd w:val="clear" w:color="000000" w:fill="FFFFFF"/>
            <w:vAlign w:val="center"/>
          </w:tcPr>
          <w:p w14:paraId="361D8499" w14:textId="77777777" w:rsidR="001676E4" w:rsidRPr="005952CC" w:rsidRDefault="001676E4" w:rsidP="003D66E5">
            <w:pPr>
              <w:jc w:val="right"/>
              <w:rPr>
                <w:rFonts w:cs="Arial"/>
                <w:color w:val="000000"/>
                <w:sz w:val="18"/>
                <w:szCs w:val="18"/>
              </w:rPr>
            </w:pPr>
            <w:r w:rsidRPr="005952CC">
              <w:rPr>
                <w:rFonts w:cs="Arial"/>
                <w:color w:val="000000"/>
                <w:sz w:val="18"/>
                <w:szCs w:val="18"/>
              </w:rPr>
              <w:t>21,8</w:t>
            </w:r>
          </w:p>
        </w:tc>
        <w:tc>
          <w:tcPr>
            <w:tcW w:w="970" w:type="dxa"/>
            <w:tcBorders>
              <w:top w:val="nil"/>
              <w:left w:val="single" w:sz="2" w:space="0" w:color="000000"/>
              <w:bottom w:val="nil"/>
              <w:right w:val="single" w:sz="2" w:space="0" w:color="000000"/>
            </w:tcBorders>
            <w:shd w:val="clear" w:color="000000" w:fill="FFFFFF"/>
            <w:vAlign w:val="center"/>
          </w:tcPr>
          <w:p w14:paraId="2574A625" w14:textId="77777777" w:rsidR="001676E4" w:rsidRPr="005952CC" w:rsidRDefault="001676E4" w:rsidP="003D66E5">
            <w:pPr>
              <w:jc w:val="right"/>
              <w:rPr>
                <w:rFonts w:cs="Arial"/>
                <w:color w:val="000000"/>
                <w:sz w:val="18"/>
                <w:szCs w:val="18"/>
              </w:rPr>
            </w:pPr>
            <w:r w:rsidRPr="005952CC">
              <w:rPr>
                <w:rFonts w:cs="Arial"/>
                <w:color w:val="000000"/>
                <w:sz w:val="18"/>
                <w:szCs w:val="18"/>
              </w:rPr>
              <w:t>34,9</w:t>
            </w:r>
          </w:p>
        </w:tc>
        <w:tc>
          <w:tcPr>
            <w:tcW w:w="1073" w:type="dxa"/>
            <w:tcBorders>
              <w:top w:val="nil"/>
              <w:left w:val="single" w:sz="2" w:space="0" w:color="000000"/>
              <w:bottom w:val="nil"/>
              <w:right w:val="single" w:sz="12" w:space="0" w:color="000000"/>
            </w:tcBorders>
            <w:shd w:val="clear" w:color="000000" w:fill="FFFFFF"/>
            <w:vAlign w:val="center"/>
          </w:tcPr>
          <w:p w14:paraId="071694A3" w14:textId="77777777" w:rsidR="001676E4" w:rsidRPr="005952CC" w:rsidRDefault="001676E4" w:rsidP="003D66E5">
            <w:pPr>
              <w:jc w:val="right"/>
              <w:rPr>
                <w:rFonts w:cs="Arial"/>
                <w:color w:val="000000"/>
                <w:sz w:val="18"/>
                <w:szCs w:val="18"/>
              </w:rPr>
            </w:pPr>
            <w:r w:rsidRPr="005952CC">
              <w:rPr>
                <w:rFonts w:cs="Arial"/>
                <w:color w:val="000000"/>
                <w:sz w:val="18"/>
                <w:szCs w:val="18"/>
              </w:rPr>
              <w:t>29,3</w:t>
            </w:r>
          </w:p>
        </w:tc>
      </w:tr>
      <w:tr w:rsidR="001676E4" w:rsidRPr="005952CC" w14:paraId="0694F065" w14:textId="77777777" w:rsidTr="003D66E5">
        <w:trPr>
          <w:cantSplit/>
          <w:trHeight w:val="340"/>
        </w:trPr>
        <w:tc>
          <w:tcPr>
            <w:tcW w:w="1418" w:type="dxa"/>
            <w:vMerge/>
            <w:tcBorders>
              <w:left w:val="single" w:sz="12" w:space="0" w:color="000000"/>
              <w:bottom w:val="single" w:sz="12" w:space="0" w:color="000000"/>
              <w:right w:val="single" w:sz="4" w:space="0" w:color="000000"/>
            </w:tcBorders>
            <w:shd w:val="clear" w:color="000000" w:fill="FFFFFF"/>
          </w:tcPr>
          <w:p w14:paraId="253C4B20" w14:textId="77777777" w:rsidR="001676E4" w:rsidRPr="005952CC"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single" w:sz="12" w:space="0" w:color="auto"/>
              <w:right w:val="single" w:sz="12" w:space="0" w:color="000000"/>
            </w:tcBorders>
            <w:shd w:val="clear" w:color="000000" w:fill="FFFFFF"/>
            <w:vAlign w:val="center"/>
          </w:tcPr>
          <w:p w14:paraId="151AD914"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Przekonanie rodziców, że spędza się za dużo czasu w tych mediach</w:t>
            </w:r>
          </w:p>
        </w:tc>
        <w:tc>
          <w:tcPr>
            <w:tcW w:w="1134" w:type="dxa"/>
            <w:tcBorders>
              <w:top w:val="nil"/>
              <w:left w:val="single" w:sz="12" w:space="0" w:color="000000"/>
              <w:bottom w:val="single" w:sz="12" w:space="0" w:color="auto"/>
              <w:right w:val="single" w:sz="2" w:space="0" w:color="000000"/>
            </w:tcBorders>
            <w:shd w:val="clear" w:color="000000" w:fill="FFFFFF"/>
            <w:vAlign w:val="center"/>
          </w:tcPr>
          <w:p w14:paraId="42068E8F" w14:textId="77777777" w:rsidR="001676E4" w:rsidRPr="005952CC" w:rsidRDefault="001676E4" w:rsidP="003D66E5">
            <w:pPr>
              <w:jc w:val="right"/>
              <w:rPr>
                <w:rFonts w:cs="Arial"/>
                <w:color w:val="000000"/>
                <w:sz w:val="18"/>
                <w:szCs w:val="18"/>
              </w:rPr>
            </w:pPr>
            <w:r w:rsidRPr="005952CC">
              <w:rPr>
                <w:rFonts w:cs="Arial"/>
                <w:color w:val="000000"/>
                <w:sz w:val="18"/>
                <w:szCs w:val="18"/>
              </w:rPr>
              <w:t>12,4</w:t>
            </w:r>
          </w:p>
        </w:tc>
        <w:tc>
          <w:tcPr>
            <w:tcW w:w="992" w:type="dxa"/>
            <w:tcBorders>
              <w:top w:val="nil"/>
              <w:left w:val="single" w:sz="2" w:space="0" w:color="000000"/>
              <w:bottom w:val="single" w:sz="12" w:space="0" w:color="auto"/>
              <w:right w:val="single" w:sz="2" w:space="0" w:color="000000"/>
            </w:tcBorders>
            <w:shd w:val="clear" w:color="000000" w:fill="FFFFFF"/>
            <w:vAlign w:val="center"/>
          </w:tcPr>
          <w:p w14:paraId="1097E9EE" w14:textId="77777777" w:rsidR="001676E4" w:rsidRPr="005952CC" w:rsidRDefault="001676E4" w:rsidP="003D66E5">
            <w:pPr>
              <w:jc w:val="right"/>
              <w:rPr>
                <w:rFonts w:cs="Arial"/>
                <w:color w:val="000000"/>
                <w:sz w:val="18"/>
                <w:szCs w:val="18"/>
              </w:rPr>
            </w:pPr>
            <w:r w:rsidRPr="005952CC">
              <w:rPr>
                <w:rFonts w:cs="Arial"/>
                <w:color w:val="000000"/>
                <w:sz w:val="18"/>
                <w:szCs w:val="18"/>
              </w:rPr>
              <w:t>19,6</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2EF60B1B" w14:textId="77777777" w:rsidR="001676E4" w:rsidRPr="005952CC" w:rsidRDefault="001676E4" w:rsidP="003D66E5">
            <w:pPr>
              <w:jc w:val="right"/>
              <w:rPr>
                <w:rFonts w:cs="Arial"/>
                <w:color w:val="000000"/>
                <w:sz w:val="18"/>
                <w:szCs w:val="18"/>
              </w:rPr>
            </w:pPr>
            <w:r w:rsidRPr="005952CC">
              <w:rPr>
                <w:rFonts w:cs="Arial"/>
                <w:color w:val="000000"/>
                <w:sz w:val="18"/>
                <w:szCs w:val="18"/>
              </w:rPr>
              <w:t>17,5</w:t>
            </w:r>
          </w:p>
        </w:tc>
        <w:tc>
          <w:tcPr>
            <w:tcW w:w="970" w:type="dxa"/>
            <w:tcBorders>
              <w:top w:val="nil"/>
              <w:left w:val="single" w:sz="2" w:space="0" w:color="000000"/>
              <w:bottom w:val="single" w:sz="12" w:space="0" w:color="auto"/>
              <w:right w:val="single" w:sz="2" w:space="0" w:color="000000"/>
            </w:tcBorders>
            <w:shd w:val="clear" w:color="000000" w:fill="FFFFFF"/>
            <w:vAlign w:val="center"/>
          </w:tcPr>
          <w:p w14:paraId="3014D4C4" w14:textId="77777777" w:rsidR="001676E4" w:rsidRPr="005952CC" w:rsidRDefault="001676E4" w:rsidP="003D66E5">
            <w:pPr>
              <w:jc w:val="right"/>
              <w:rPr>
                <w:rFonts w:cs="Arial"/>
                <w:color w:val="000000"/>
                <w:sz w:val="18"/>
                <w:szCs w:val="18"/>
              </w:rPr>
            </w:pPr>
            <w:r w:rsidRPr="005952CC">
              <w:rPr>
                <w:rFonts w:cs="Arial"/>
                <w:color w:val="000000"/>
                <w:sz w:val="18"/>
                <w:szCs w:val="18"/>
              </w:rPr>
              <w:t>26,8</w:t>
            </w:r>
          </w:p>
        </w:tc>
        <w:tc>
          <w:tcPr>
            <w:tcW w:w="1073" w:type="dxa"/>
            <w:tcBorders>
              <w:top w:val="nil"/>
              <w:left w:val="single" w:sz="2" w:space="0" w:color="000000"/>
              <w:bottom w:val="single" w:sz="12" w:space="0" w:color="auto"/>
              <w:right w:val="single" w:sz="12" w:space="0" w:color="000000"/>
            </w:tcBorders>
            <w:shd w:val="clear" w:color="000000" w:fill="FFFFFF"/>
            <w:vAlign w:val="center"/>
          </w:tcPr>
          <w:p w14:paraId="2A332165" w14:textId="77777777" w:rsidR="001676E4" w:rsidRPr="005952CC" w:rsidRDefault="001676E4" w:rsidP="003D66E5">
            <w:pPr>
              <w:jc w:val="right"/>
              <w:rPr>
                <w:rFonts w:cs="Arial"/>
                <w:color w:val="000000"/>
                <w:sz w:val="18"/>
                <w:szCs w:val="18"/>
              </w:rPr>
            </w:pPr>
            <w:r w:rsidRPr="005952CC">
              <w:rPr>
                <w:rFonts w:cs="Arial"/>
                <w:color w:val="000000"/>
                <w:sz w:val="18"/>
                <w:szCs w:val="18"/>
              </w:rPr>
              <w:t>23,8</w:t>
            </w:r>
          </w:p>
        </w:tc>
      </w:tr>
    </w:tbl>
    <w:p w14:paraId="73E43AA0"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1AD6F7DC" w14:textId="5C4C9AFD" w:rsidR="001676E4" w:rsidRPr="00317DE2" w:rsidRDefault="001676E4" w:rsidP="001676E4">
      <w:pPr>
        <w:widowControl w:val="0"/>
        <w:tabs>
          <w:tab w:val="center" w:pos="3456"/>
        </w:tabs>
        <w:autoSpaceDE w:val="0"/>
        <w:autoSpaceDN w:val="0"/>
        <w:adjustRightInd w:val="0"/>
        <w:spacing w:before="240" w:line="360" w:lineRule="auto"/>
        <w:ind w:firstLine="567"/>
        <w:jc w:val="both"/>
        <w:rPr>
          <w:rFonts w:cs="Arial"/>
          <w:color w:val="000000"/>
          <w:sz w:val="22"/>
          <w:szCs w:val="22"/>
        </w:rPr>
      </w:pPr>
      <w:r w:rsidRPr="00317DE2">
        <w:rPr>
          <w:rFonts w:cs="Arial"/>
          <w:color w:val="000000"/>
          <w:sz w:val="22"/>
          <w:szCs w:val="22"/>
        </w:rPr>
        <w:t>W młodszej populacji</w:t>
      </w:r>
      <w:r w:rsidR="0020619E">
        <w:rPr>
          <w:rFonts w:cs="Arial"/>
          <w:color w:val="000000"/>
          <w:sz w:val="22"/>
          <w:szCs w:val="22"/>
        </w:rPr>
        <w:t>,</w:t>
      </w:r>
      <w:r w:rsidRPr="00317DE2">
        <w:rPr>
          <w:rFonts w:cs="Arial"/>
          <w:color w:val="000000"/>
          <w:sz w:val="22"/>
          <w:szCs w:val="22"/>
        </w:rPr>
        <w:t xml:space="preserve"> zarówno w dzień powszedni</w:t>
      </w:r>
      <w:r w:rsidR="0020619E">
        <w:rPr>
          <w:rFonts w:cs="Arial"/>
          <w:color w:val="000000"/>
          <w:sz w:val="22"/>
          <w:szCs w:val="22"/>
        </w:rPr>
        <w:t>,</w:t>
      </w:r>
      <w:r w:rsidRPr="00317DE2">
        <w:rPr>
          <w:rFonts w:cs="Arial"/>
          <w:color w:val="000000"/>
          <w:sz w:val="22"/>
          <w:szCs w:val="22"/>
        </w:rPr>
        <w:t xml:space="preserve"> jak w trakcie weekendu</w:t>
      </w:r>
      <w:r w:rsidR="0020619E">
        <w:rPr>
          <w:rFonts w:cs="Arial"/>
          <w:color w:val="000000"/>
          <w:sz w:val="22"/>
          <w:szCs w:val="22"/>
        </w:rPr>
        <w:t>,</w:t>
      </w:r>
      <w:r w:rsidRPr="00317DE2">
        <w:rPr>
          <w:rFonts w:cs="Arial"/>
          <w:color w:val="000000"/>
          <w:sz w:val="22"/>
          <w:szCs w:val="22"/>
        </w:rPr>
        <w:t xml:space="preserve"> czas spędzany na graniu zawierał się w przedziale od 2 do 3 godzin. W starszej grupie odsetki badanych deklarujących granie w różnych przedziałach czasowych rozkładały się </w:t>
      </w:r>
      <w:r w:rsidRPr="00317DE2">
        <w:rPr>
          <w:rFonts w:cs="Arial"/>
          <w:color w:val="000000"/>
          <w:sz w:val="22"/>
          <w:szCs w:val="22"/>
        </w:rPr>
        <w:lastRenderedPageBreak/>
        <w:t>równomiernie.</w:t>
      </w:r>
      <w:r w:rsidRPr="00317DE2">
        <w:rPr>
          <w:rFonts w:cs="Arial"/>
          <w:sz w:val="22"/>
          <w:szCs w:val="22"/>
        </w:rPr>
        <w:t xml:space="preserve"> </w:t>
      </w:r>
      <w:r w:rsidRPr="00317DE2">
        <w:rPr>
          <w:rFonts w:cs="Arial"/>
          <w:color w:val="000000"/>
          <w:sz w:val="22"/>
          <w:szCs w:val="22"/>
        </w:rPr>
        <w:t>Jeśli chodzi o spędzanie czasu na urządzeniach elektronicznych w weekendy</w:t>
      </w:r>
      <w:r w:rsidR="0020619E">
        <w:rPr>
          <w:rFonts w:cs="Arial"/>
          <w:color w:val="000000"/>
          <w:sz w:val="22"/>
          <w:szCs w:val="22"/>
        </w:rPr>
        <w:t>,</w:t>
      </w:r>
      <w:r w:rsidRPr="00317DE2">
        <w:rPr>
          <w:rFonts w:cs="Arial"/>
          <w:color w:val="000000"/>
          <w:sz w:val="22"/>
          <w:szCs w:val="22"/>
        </w:rPr>
        <w:t xml:space="preserve"> to młodsi uczniowie również przeznaczają na to najczęściej 2-3 godziny. Podobnie jest wśród starszych uczniów badania. Jednak w weekendy obserwuje się znacznie wyższe odsetki uczniów (z młodszej i</w:t>
      </w:r>
      <w:r>
        <w:rPr>
          <w:rFonts w:cs="Arial"/>
          <w:color w:val="000000"/>
          <w:sz w:val="22"/>
          <w:szCs w:val="22"/>
        </w:rPr>
        <w:t> </w:t>
      </w:r>
      <w:r w:rsidRPr="00317DE2">
        <w:rPr>
          <w:rFonts w:cs="Arial"/>
          <w:color w:val="000000"/>
          <w:sz w:val="22"/>
          <w:szCs w:val="22"/>
        </w:rPr>
        <w:t>starszej kohorty), którzy przeznaczają na grę powyżej 4 godzin dziennie.</w:t>
      </w:r>
    </w:p>
    <w:p w14:paraId="43EF69FF" w14:textId="4320C0BE" w:rsidR="001676E4" w:rsidRPr="00A43860" w:rsidRDefault="001676E4" w:rsidP="001676E4">
      <w:pPr>
        <w:pStyle w:val="Legenda"/>
        <w:keepNext/>
        <w:rPr>
          <w:sz w:val="20"/>
          <w:szCs w:val="16"/>
        </w:rPr>
      </w:pPr>
      <w:bookmarkStart w:id="114" w:name="_Toc214279718"/>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33</w:t>
      </w:r>
      <w:r w:rsidRPr="00A43860">
        <w:rPr>
          <w:sz w:val="20"/>
          <w:szCs w:val="16"/>
        </w:rPr>
        <w:fldChar w:fldCharType="end"/>
      </w:r>
      <w:r w:rsidRPr="00A43860">
        <w:rPr>
          <w:sz w:val="20"/>
          <w:szCs w:val="16"/>
        </w:rPr>
        <w:t>. Czas spędzony na grach na urządzeniach elektronicznych w czasie ostatnich 7 dni (województwo lubelskie).</w:t>
      </w:r>
      <w:bookmarkEnd w:id="114"/>
    </w:p>
    <w:tbl>
      <w:tblPr>
        <w:tblW w:w="9248" w:type="dxa"/>
        <w:tblInd w:w="93" w:type="dxa"/>
        <w:tblLayout w:type="fixed"/>
        <w:tblCellMar>
          <w:left w:w="93" w:type="dxa"/>
          <w:right w:w="93" w:type="dxa"/>
        </w:tblCellMar>
        <w:tblLook w:val="0000" w:firstRow="0" w:lastRow="0" w:firstColumn="0" w:lastColumn="0" w:noHBand="0" w:noVBand="0"/>
      </w:tblPr>
      <w:tblGrid>
        <w:gridCol w:w="1276"/>
        <w:gridCol w:w="1985"/>
        <w:gridCol w:w="1054"/>
        <w:gridCol w:w="1054"/>
        <w:gridCol w:w="1054"/>
        <w:gridCol w:w="1055"/>
        <w:gridCol w:w="1054"/>
        <w:gridCol w:w="716"/>
      </w:tblGrid>
      <w:tr w:rsidR="001676E4" w:rsidRPr="0092722E" w14:paraId="278912AC" w14:textId="77777777" w:rsidTr="003D66E5">
        <w:trPr>
          <w:trHeight w:val="504"/>
        </w:trPr>
        <w:tc>
          <w:tcPr>
            <w:tcW w:w="1276" w:type="dxa"/>
            <w:tcBorders>
              <w:top w:val="single" w:sz="12" w:space="0" w:color="000000"/>
              <w:left w:val="single" w:sz="12" w:space="0" w:color="000000"/>
              <w:bottom w:val="single" w:sz="12" w:space="0" w:color="000000"/>
            </w:tcBorders>
            <w:shd w:val="clear" w:color="000000" w:fill="FFFFFF"/>
          </w:tcPr>
          <w:p w14:paraId="52C22285"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Kohorta</w:t>
            </w:r>
          </w:p>
        </w:tc>
        <w:tc>
          <w:tcPr>
            <w:tcW w:w="1985" w:type="dxa"/>
            <w:tcBorders>
              <w:top w:val="single" w:sz="12" w:space="0" w:color="000000"/>
              <w:bottom w:val="single" w:sz="12" w:space="0" w:color="auto"/>
              <w:right w:val="single" w:sz="12" w:space="0" w:color="auto"/>
            </w:tcBorders>
            <w:shd w:val="clear" w:color="000000" w:fill="FFFFFF"/>
          </w:tcPr>
          <w:p w14:paraId="7CB31BB5" w14:textId="77777777" w:rsidR="001676E4" w:rsidRPr="0092722E" w:rsidRDefault="001676E4" w:rsidP="003D66E5">
            <w:pPr>
              <w:widowControl w:val="0"/>
              <w:autoSpaceDE w:val="0"/>
              <w:autoSpaceDN w:val="0"/>
              <w:adjustRightInd w:val="0"/>
              <w:jc w:val="center"/>
              <w:rPr>
                <w:rFonts w:cs="Arial"/>
                <w:b/>
                <w:bCs/>
                <w:color w:val="000000"/>
                <w:sz w:val="18"/>
                <w:szCs w:val="18"/>
              </w:rPr>
            </w:pPr>
          </w:p>
        </w:tc>
        <w:tc>
          <w:tcPr>
            <w:tcW w:w="1054" w:type="dxa"/>
            <w:tcBorders>
              <w:top w:val="single" w:sz="12" w:space="0" w:color="000000"/>
              <w:left w:val="single" w:sz="12" w:space="0" w:color="auto"/>
              <w:bottom w:val="single" w:sz="12" w:space="0" w:color="auto"/>
              <w:right w:val="single" w:sz="2" w:space="0" w:color="000000"/>
            </w:tcBorders>
            <w:shd w:val="clear" w:color="000000" w:fill="FFFFFF"/>
          </w:tcPr>
          <w:p w14:paraId="7E3AF552"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Nie korzystał</w:t>
            </w:r>
          </w:p>
        </w:tc>
        <w:tc>
          <w:tcPr>
            <w:tcW w:w="1054" w:type="dxa"/>
            <w:tcBorders>
              <w:top w:val="single" w:sz="12" w:space="0" w:color="000000"/>
              <w:left w:val="single" w:sz="2" w:space="0" w:color="000000"/>
              <w:bottom w:val="single" w:sz="12" w:space="0" w:color="auto"/>
              <w:right w:val="single" w:sz="2" w:space="0" w:color="000000"/>
            </w:tcBorders>
            <w:shd w:val="clear" w:color="000000" w:fill="FFFFFF"/>
          </w:tcPr>
          <w:p w14:paraId="36E253AF"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Pół godziny lub mniej</w:t>
            </w:r>
          </w:p>
        </w:tc>
        <w:tc>
          <w:tcPr>
            <w:tcW w:w="1054" w:type="dxa"/>
            <w:tcBorders>
              <w:top w:val="single" w:sz="12" w:space="0" w:color="000000"/>
              <w:left w:val="single" w:sz="2" w:space="0" w:color="000000"/>
              <w:bottom w:val="single" w:sz="12" w:space="0" w:color="auto"/>
              <w:right w:val="single" w:sz="2" w:space="0" w:color="000000"/>
            </w:tcBorders>
            <w:shd w:val="clear" w:color="000000" w:fill="FFFFFF"/>
          </w:tcPr>
          <w:p w14:paraId="23B13505" w14:textId="77777777" w:rsidR="001676E4" w:rsidRPr="0092722E" w:rsidRDefault="001676E4" w:rsidP="003D66E5">
            <w:pPr>
              <w:jc w:val="center"/>
              <w:rPr>
                <w:rFonts w:cs="Arial"/>
                <w:b/>
                <w:bCs/>
                <w:color w:val="000000"/>
                <w:sz w:val="18"/>
                <w:szCs w:val="18"/>
              </w:rPr>
            </w:pPr>
            <w:r w:rsidRPr="0092722E">
              <w:rPr>
                <w:rFonts w:cs="Arial"/>
                <w:b/>
                <w:bCs/>
                <w:color w:val="000000"/>
                <w:sz w:val="18"/>
                <w:szCs w:val="18"/>
              </w:rPr>
              <w:t>Ok. 1 godz.</w:t>
            </w:r>
          </w:p>
        </w:tc>
        <w:tc>
          <w:tcPr>
            <w:tcW w:w="1055" w:type="dxa"/>
            <w:tcBorders>
              <w:top w:val="single" w:sz="12" w:space="0" w:color="000000"/>
              <w:left w:val="single" w:sz="2" w:space="0" w:color="000000"/>
              <w:bottom w:val="single" w:sz="12" w:space="0" w:color="auto"/>
              <w:right w:val="single" w:sz="2" w:space="0" w:color="000000"/>
            </w:tcBorders>
            <w:shd w:val="clear" w:color="000000" w:fill="FFFFFF"/>
          </w:tcPr>
          <w:p w14:paraId="604BCF7D" w14:textId="77777777" w:rsidR="001676E4" w:rsidRPr="0092722E" w:rsidRDefault="001676E4" w:rsidP="003D66E5">
            <w:pPr>
              <w:jc w:val="center"/>
              <w:rPr>
                <w:rFonts w:cs="Arial"/>
                <w:b/>
                <w:bCs/>
                <w:color w:val="000000"/>
                <w:sz w:val="18"/>
                <w:szCs w:val="18"/>
              </w:rPr>
            </w:pPr>
            <w:r w:rsidRPr="0092722E">
              <w:rPr>
                <w:rFonts w:cs="Arial"/>
                <w:b/>
                <w:bCs/>
                <w:color w:val="000000"/>
                <w:sz w:val="18"/>
                <w:szCs w:val="18"/>
              </w:rPr>
              <w:t>Ok. 2-3 godz.</w:t>
            </w:r>
          </w:p>
        </w:tc>
        <w:tc>
          <w:tcPr>
            <w:tcW w:w="1054" w:type="dxa"/>
            <w:tcBorders>
              <w:top w:val="single" w:sz="12" w:space="0" w:color="000000"/>
              <w:left w:val="single" w:sz="2" w:space="0" w:color="000000"/>
              <w:bottom w:val="single" w:sz="12" w:space="0" w:color="auto"/>
              <w:right w:val="single" w:sz="2" w:space="0" w:color="000000"/>
            </w:tcBorders>
            <w:shd w:val="clear" w:color="000000" w:fill="FFFFFF"/>
          </w:tcPr>
          <w:p w14:paraId="5763E3F9" w14:textId="77777777" w:rsidR="001676E4" w:rsidRPr="0092722E" w:rsidRDefault="001676E4" w:rsidP="003D66E5">
            <w:pPr>
              <w:jc w:val="center"/>
              <w:rPr>
                <w:rFonts w:cs="Arial"/>
                <w:b/>
                <w:bCs/>
                <w:color w:val="000000"/>
                <w:sz w:val="18"/>
                <w:szCs w:val="18"/>
              </w:rPr>
            </w:pPr>
            <w:r w:rsidRPr="0092722E">
              <w:rPr>
                <w:rFonts w:cs="Arial"/>
                <w:b/>
                <w:bCs/>
                <w:color w:val="000000"/>
                <w:sz w:val="18"/>
                <w:szCs w:val="18"/>
              </w:rPr>
              <w:t>Ok. 4-5 godz.</w:t>
            </w:r>
          </w:p>
        </w:tc>
        <w:tc>
          <w:tcPr>
            <w:tcW w:w="716" w:type="dxa"/>
            <w:tcBorders>
              <w:top w:val="single" w:sz="12" w:space="0" w:color="000000"/>
              <w:left w:val="single" w:sz="2" w:space="0" w:color="000000"/>
              <w:bottom w:val="single" w:sz="12" w:space="0" w:color="auto"/>
              <w:right w:val="single" w:sz="12" w:space="0" w:color="auto"/>
            </w:tcBorders>
            <w:shd w:val="clear" w:color="000000" w:fill="FFFFFF"/>
          </w:tcPr>
          <w:p w14:paraId="2E2DA113" w14:textId="77777777" w:rsidR="001676E4" w:rsidRPr="0092722E" w:rsidRDefault="001676E4" w:rsidP="003D66E5">
            <w:pPr>
              <w:jc w:val="center"/>
              <w:rPr>
                <w:rFonts w:cs="Arial"/>
                <w:b/>
                <w:bCs/>
                <w:color w:val="000000"/>
                <w:sz w:val="18"/>
                <w:szCs w:val="18"/>
              </w:rPr>
            </w:pPr>
            <w:r w:rsidRPr="0092722E">
              <w:rPr>
                <w:rFonts w:cs="Arial"/>
                <w:b/>
                <w:bCs/>
                <w:color w:val="000000"/>
                <w:sz w:val="18"/>
                <w:szCs w:val="18"/>
              </w:rPr>
              <w:t>6 godz</w:t>
            </w:r>
            <w:r>
              <w:rPr>
                <w:rFonts w:cs="Arial"/>
                <w:b/>
                <w:bCs/>
                <w:color w:val="000000"/>
                <w:sz w:val="18"/>
                <w:szCs w:val="18"/>
              </w:rPr>
              <w:t>.</w:t>
            </w:r>
          </w:p>
        </w:tc>
      </w:tr>
      <w:tr w:rsidR="001676E4" w:rsidRPr="005952CC" w14:paraId="0D393342" w14:textId="77777777" w:rsidTr="003D66E5">
        <w:trPr>
          <w:cantSplit/>
          <w:trHeight w:val="504"/>
        </w:trPr>
        <w:tc>
          <w:tcPr>
            <w:tcW w:w="1276" w:type="dxa"/>
            <w:vMerge w:val="restart"/>
            <w:tcBorders>
              <w:top w:val="single" w:sz="12" w:space="0" w:color="000000"/>
              <w:left w:val="single" w:sz="12" w:space="0" w:color="000000"/>
              <w:right w:val="single" w:sz="4" w:space="0" w:color="auto"/>
            </w:tcBorders>
            <w:shd w:val="clear" w:color="000000" w:fill="FFFFFF"/>
          </w:tcPr>
          <w:p w14:paraId="509E0FDF"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Młodsza kohorta (15-16 lat)</w:t>
            </w:r>
          </w:p>
          <w:p w14:paraId="5AD3D17A" w14:textId="77777777" w:rsidR="001676E4" w:rsidRPr="005952CC" w:rsidRDefault="001676E4" w:rsidP="003D66E5">
            <w:pPr>
              <w:widowControl w:val="0"/>
              <w:autoSpaceDE w:val="0"/>
              <w:autoSpaceDN w:val="0"/>
              <w:adjustRightInd w:val="0"/>
              <w:rPr>
                <w:rFonts w:cs="Arial"/>
                <w:color w:val="000000"/>
                <w:sz w:val="18"/>
                <w:szCs w:val="18"/>
              </w:rPr>
            </w:pPr>
          </w:p>
        </w:tc>
        <w:tc>
          <w:tcPr>
            <w:tcW w:w="1985" w:type="dxa"/>
            <w:tcBorders>
              <w:top w:val="single" w:sz="12" w:space="0" w:color="auto"/>
              <w:left w:val="single" w:sz="4" w:space="0" w:color="auto"/>
              <w:bottom w:val="single" w:sz="4" w:space="0" w:color="auto"/>
              <w:right w:val="single" w:sz="12" w:space="0" w:color="auto"/>
            </w:tcBorders>
            <w:shd w:val="clear" w:color="000000" w:fill="FFFFFF"/>
          </w:tcPr>
          <w:p w14:paraId="0B180BA4"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Typowy dzień roboczy</w:t>
            </w:r>
          </w:p>
        </w:tc>
        <w:tc>
          <w:tcPr>
            <w:tcW w:w="1054" w:type="dxa"/>
            <w:tcBorders>
              <w:top w:val="single" w:sz="12" w:space="0" w:color="auto"/>
              <w:left w:val="single" w:sz="12" w:space="0" w:color="auto"/>
              <w:bottom w:val="single" w:sz="4" w:space="0" w:color="auto"/>
              <w:right w:val="single" w:sz="4" w:space="0" w:color="auto"/>
            </w:tcBorders>
            <w:shd w:val="clear" w:color="000000" w:fill="FFFFFF"/>
            <w:vAlign w:val="center"/>
          </w:tcPr>
          <w:p w14:paraId="34834FA5" w14:textId="77777777" w:rsidR="001676E4" w:rsidRPr="005952CC" w:rsidRDefault="001676E4" w:rsidP="003D66E5">
            <w:pPr>
              <w:jc w:val="right"/>
              <w:rPr>
                <w:rFonts w:cs="Arial"/>
                <w:color w:val="000000"/>
                <w:sz w:val="18"/>
                <w:szCs w:val="18"/>
              </w:rPr>
            </w:pPr>
            <w:r w:rsidRPr="005952CC">
              <w:rPr>
                <w:rFonts w:cs="Arial"/>
                <w:color w:val="000000"/>
                <w:sz w:val="18"/>
                <w:szCs w:val="18"/>
              </w:rPr>
              <w:t>20,9</w:t>
            </w:r>
          </w:p>
        </w:tc>
        <w:tc>
          <w:tcPr>
            <w:tcW w:w="1054" w:type="dxa"/>
            <w:tcBorders>
              <w:top w:val="single" w:sz="12" w:space="0" w:color="auto"/>
              <w:left w:val="single" w:sz="4" w:space="0" w:color="auto"/>
              <w:bottom w:val="single" w:sz="4" w:space="0" w:color="auto"/>
              <w:right w:val="single" w:sz="4" w:space="0" w:color="auto"/>
            </w:tcBorders>
            <w:shd w:val="clear" w:color="000000" w:fill="FFFFFF"/>
            <w:vAlign w:val="center"/>
          </w:tcPr>
          <w:p w14:paraId="2C934835" w14:textId="77777777" w:rsidR="001676E4" w:rsidRPr="005952CC" w:rsidRDefault="001676E4" w:rsidP="003D66E5">
            <w:pPr>
              <w:jc w:val="right"/>
              <w:rPr>
                <w:rFonts w:cs="Arial"/>
                <w:color w:val="000000"/>
                <w:sz w:val="18"/>
                <w:szCs w:val="18"/>
              </w:rPr>
            </w:pPr>
            <w:r w:rsidRPr="005952CC">
              <w:rPr>
                <w:rFonts w:cs="Arial"/>
                <w:color w:val="000000"/>
                <w:sz w:val="18"/>
                <w:szCs w:val="18"/>
              </w:rPr>
              <w:t>12,0</w:t>
            </w:r>
          </w:p>
        </w:tc>
        <w:tc>
          <w:tcPr>
            <w:tcW w:w="1054" w:type="dxa"/>
            <w:tcBorders>
              <w:top w:val="single" w:sz="12" w:space="0" w:color="auto"/>
              <w:left w:val="single" w:sz="4" w:space="0" w:color="auto"/>
              <w:bottom w:val="single" w:sz="4" w:space="0" w:color="auto"/>
              <w:right w:val="single" w:sz="4" w:space="0" w:color="auto"/>
            </w:tcBorders>
            <w:shd w:val="clear" w:color="000000" w:fill="FFFFFF"/>
            <w:vAlign w:val="center"/>
          </w:tcPr>
          <w:p w14:paraId="2945D5DF" w14:textId="77777777" w:rsidR="001676E4" w:rsidRPr="005952CC" w:rsidRDefault="001676E4" w:rsidP="003D66E5">
            <w:pPr>
              <w:jc w:val="right"/>
              <w:rPr>
                <w:rFonts w:cs="Arial"/>
                <w:color w:val="000000"/>
                <w:sz w:val="18"/>
                <w:szCs w:val="18"/>
              </w:rPr>
            </w:pPr>
            <w:r w:rsidRPr="005952CC">
              <w:rPr>
                <w:rFonts w:cs="Arial"/>
                <w:color w:val="000000"/>
                <w:sz w:val="18"/>
                <w:szCs w:val="18"/>
              </w:rPr>
              <w:t>17,7</w:t>
            </w:r>
          </w:p>
        </w:tc>
        <w:tc>
          <w:tcPr>
            <w:tcW w:w="1055" w:type="dxa"/>
            <w:tcBorders>
              <w:top w:val="single" w:sz="12" w:space="0" w:color="auto"/>
              <w:left w:val="single" w:sz="4" w:space="0" w:color="auto"/>
              <w:bottom w:val="single" w:sz="4" w:space="0" w:color="auto"/>
              <w:right w:val="single" w:sz="4" w:space="0" w:color="auto"/>
            </w:tcBorders>
            <w:shd w:val="clear" w:color="000000" w:fill="FFFFFF"/>
            <w:vAlign w:val="center"/>
          </w:tcPr>
          <w:p w14:paraId="772AA3D3" w14:textId="77777777" w:rsidR="001676E4" w:rsidRPr="005952CC" w:rsidRDefault="001676E4" w:rsidP="003D66E5">
            <w:pPr>
              <w:jc w:val="right"/>
              <w:rPr>
                <w:rFonts w:cs="Arial"/>
                <w:color w:val="000000"/>
                <w:sz w:val="18"/>
                <w:szCs w:val="18"/>
              </w:rPr>
            </w:pPr>
            <w:r w:rsidRPr="005952CC">
              <w:rPr>
                <w:rFonts w:cs="Arial"/>
                <w:color w:val="000000"/>
                <w:sz w:val="18"/>
                <w:szCs w:val="18"/>
              </w:rPr>
              <w:t>27,7</w:t>
            </w:r>
          </w:p>
        </w:tc>
        <w:tc>
          <w:tcPr>
            <w:tcW w:w="1054" w:type="dxa"/>
            <w:tcBorders>
              <w:top w:val="single" w:sz="12" w:space="0" w:color="auto"/>
              <w:left w:val="single" w:sz="4" w:space="0" w:color="auto"/>
              <w:bottom w:val="single" w:sz="4" w:space="0" w:color="auto"/>
              <w:right w:val="single" w:sz="4" w:space="0" w:color="auto"/>
            </w:tcBorders>
            <w:shd w:val="clear" w:color="000000" w:fill="FFFFFF"/>
            <w:vAlign w:val="center"/>
          </w:tcPr>
          <w:p w14:paraId="39DBD15C" w14:textId="77777777" w:rsidR="001676E4" w:rsidRPr="005952CC" w:rsidRDefault="001676E4" w:rsidP="003D66E5">
            <w:pPr>
              <w:jc w:val="right"/>
              <w:rPr>
                <w:rFonts w:cs="Arial"/>
                <w:color w:val="000000"/>
                <w:sz w:val="18"/>
                <w:szCs w:val="18"/>
              </w:rPr>
            </w:pPr>
            <w:r w:rsidRPr="005952CC">
              <w:rPr>
                <w:rFonts w:cs="Arial"/>
                <w:color w:val="000000"/>
                <w:sz w:val="18"/>
                <w:szCs w:val="18"/>
              </w:rPr>
              <w:t>12,2</w:t>
            </w:r>
          </w:p>
        </w:tc>
        <w:tc>
          <w:tcPr>
            <w:tcW w:w="716" w:type="dxa"/>
            <w:tcBorders>
              <w:top w:val="single" w:sz="12" w:space="0" w:color="auto"/>
              <w:left w:val="single" w:sz="4" w:space="0" w:color="auto"/>
              <w:bottom w:val="single" w:sz="4" w:space="0" w:color="auto"/>
              <w:right w:val="single" w:sz="12" w:space="0" w:color="auto"/>
            </w:tcBorders>
            <w:shd w:val="clear" w:color="000000" w:fill="FFFFFF"/>
            <w:vAlign w:val="center"/>
          </w:tcPr>
          <w:p w14:paraId="40FB8C11" w14:textId="77777777" w:rsidR="001676E4" w:rsidRPr="005952CC" w:rsidRDefault="001676E4" w:rsidP="003D66E5">
            <w:pPr>
              <w:jc w:val="right"/>
              <w:rPr>
                <w:rFonts w:cs="Arial"/>
                <w:color w:val="000000"/>
                <w:sz w:val="18"/>
                <w:szCs w:val="18"/>
              </w:rPr>
            </w:pPr>
            <w:r w:rsidRPr="005952CC">
              <w:rPr>
                <w:rFonts w:cs="Arial"/>
                <w:color w:val="000000"/>
                <w:sz w:val="18"/>
                <w:szCs w:val="18"/>
              </w:rPr>
              <w:t>9,6</w:t>
            </w:r>
          </w:p>
        </w:tc>
      </w:tr>
      <w:tr w:rsidR="001676E4" w:rsidRPr="005952CC" w14:paraId="164C7A4A" w14:textId="77777777" w:rsidTr="003D66E5">
        <w:trPr>
          <w:cantSplit/>
          <w:trHeight w:val="504"/>
        </w:trPr>
        <w:tc>
          <w:tcPr>
            <w:tcW w:w="1276" w:type="dxa"/>
            <w:vMerge/>
            <w:tcBorders>
              <w:left w:val="single" w:sz="12" w:space="0" w:color="000000"/>
              <w:right w:val="single" w:sz="4" w:space="0" w:color="auto"/>
            </w:tcBorders>
            <w:shd w:val="clear" w:color="000000" w:fill="FFFFFF"/>
          </w:tcPr>
          <w:p w14:paraId="66701E9A" w14:textId="77777777" w:rsidR="001676E4" w:rsidRPr="005952CC" w:rsidRDefault="001676E4" w:rsidP="003D66E5">
            <w:pPr>
              <w:widowControl w:val="0"/>
              <w:autoSpaceDE w:val="0"/>
              <w:autoSpaceDN w:val="0"/>
              <w:adjustRightInd w:val="0"/>
              <w:rPr>
                <w:rFonts w:cs="Arial"/>
                <w:color w:val="000000"/>
                <w:sz w:val="18"/>
                <w:szCs w:val="18"/>
              </w:rPr>
            </w:pPr>
          </w:p>
        </w:tc>
        <w:tc>
          <w:tcPr>
            <w:tcW w:w="1985" w:type="dxa"/>
            <w:tcBorders>
              <w:top w:val="single" w:sz="4" w:space="0" w:color="auto"/>
              <w:left w:val="single" w:sz="4" w:space="0" w:color="auto"/>
              <w:bottom w:val="single" w:sz="4" w:space="0" w:color="auto"/>
              <w:right w:val="single" w:sz="12" w:space="0" w:color="auto"/>
            </w:tcBorders>
            <w:shd w:val="clear" w:color="000000" w:fill="FFFFFF"/>
          </w:tcPr>
          <w:p w14:paraId="7652D98D"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Typowy dzień weekendowy</w:t>
            </w:r>
          </w:p>
        </w:tc>
        <w:tc>
          <w:tcPr>
            <w:tcW w:w="1054" w:type="dxa"/>
            <w:tcBorders>
              <w:top w:val="single" w:sz="4" w:space="0" w:color="auto"/>
              <w:left w:val="single" w:sz="12" w:space="0" w:color="auto"/>
              <w:bottom w:val="single" w:sz="4" w:space="0" w:color="auto"/>
              <w:right w:val="single" w:sz="4" w:space="0" w:color="auto"/>
            </w:tcBorders>
            <w:shd w:val="clear" w:color="000000" w:fill="FFFFFF"/>
            <w:vAlign w:val="center"/>
          </w:tcPr>
          <w:p w14:paraId="6370EDBB" w14:textId="77777777" w:rsidR="001676E4" w:rsidRPr="005952CC" w:rsidRDefault="001676E4" w:rsidP="003D66E5">
            <w:pPr>
              <w:jc w:val="right"/>
              <w:rPr>
                <w:rFonts w:cs="Arial"/>
                <w:color w:val="000000"/>
                <w:sz w:val="18"/>
                <w:szCs w:val="18"/>
              </w:rPr>
            </w:pPr>
            <w:r w:rsidRPr="005952CC">
              <w:rPr>
                <w:rFonts w:cs="Arial"/>
                <w:color w:val="000000"/>
                <w:sz w:val="18"/>
                <w:szCs w:val="18"/>
              </w:rPr>
              <w:t>15,8</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tcPr>
          <w:p w14:paraId="7E5D1458" w14:textId="77777777" w:rsidR="001676E4" w:rsidRPr="005952CC" w:rsidRDefault="001676E4" w:rsidP="003D66E5">
            <w:pPr>
              <w:jc w:val="right"/>
              <w:rPr>
                <w:rFonts w:cs="Arial"/>
                <w:color w:val="000000"/>
                <w:sz w:val="18"/>
                <w:szCs w:val="18"/>
              </w:rPr>
            </w:pPr>
            <w:r w:rsidRPr="005952CC">
              <w:rPr>
                <w:rFonts w:cs="Arial"/>
                <w:color w:val="000000"/>
                <w:sz w:val="18"/>
                <w:szCs w:val="18"/>
              </w:rPr>
              <w:t>6,9</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tcPr>
          <w:p w14:paraId="53E26602" w14:textId="77777777" w:rsidR="001676E4" w:rsidRPr="005952CC" w:rsidRDefault="001676E4" w:rsidP="003D66E5">
            <w:pPr>
              <w:jc w:val="right"/>
              <w:rPr>
                <w:rFonts w:cs="Arial"/>
                <w:color w:val="000000"/>
                <w:sz w:val="18"/>
                <w:szCs w:val="18"/>
              </w:rPr>
            </w:pPr>
            <w:r w:rsidRPr="005952CC">
              <w:rPr>
                <w:rFonts w:cs="Arial"/>
                <w:color w:val="000000"/>
                <w:sz w:val="18"/>
                <w:szCs w:val="18"/>
              </w:rPr>
              <w:t>11,5</w:t>
            </w:r>
          </w:p>
        </w:tc>
        <w:tc>
          <w:tcPr>
            <w:tcW w:w="1055" w:type="dxa"/>
            <w:tcBorders>
              <w:top w:val="single" w:sz="4" w:space="0" w:color="auto"/>
              <w:left w:val="single" w:sz="4" w:space="0" w:color="auto"/>
              <w:bottom w:val="single" w:sz="4" w:space="0" w:color="auto"/>
              <w:right w:val="single" w:sz="4" w:space="0" w:color="auto"/>
            </w:tcBorders>
            <w:shd w:val="clear" w:color="000000" w:fill="FFFFFF"/>
            <w:vAlign w:val="center"/>
          </w:tcPr>
          <w:p w14:paraId="2F704640" w14:textId="77777777" w:rsidR="001676E4" w:rsidRPr="005952CC" w:rsidRDefault="001676E4" w:rsidP="003D66E5">
            <w:pPr>
              <w:jc w:val="right"/>
              <w:rPr>
                <w:rFonts w:cs="Arial"/>
                <w:color w:val="000000"/>
                <w:sz w:val="18"/>
                <w:szCs w:val="18"/>
              </w:rPr>
            </w:pPr>
            <w:r w:rsidRPr="005952CC">
              <w:rPr>
                <w:rFonts w:cs="Arial"/>
                <w:color w:val="000000"/>
                <w:sz w:val="18"/>
                <w:szCs w:val="18"/>
              </w:rPr>
              <w:t>25,0</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tcPr>
          <w:p w14:paraId="0143D1D5" w14:textId="77777777" w:rsidR="001676E4" w:rsidRPr="005952CC" w:rsidRDefault="001676E4" w:rsidP="003D66E5">
            <w:pPr>
              <w:jc w:val="right"/>
              <w:rPr>
                <w:rFonts w:cs="Arial"/>
                <w:color w:val="000000"/>
                <w:sz w:val="18"/>
                <w:szCs w:val="18"/>
              </w:rPr>
            </w:pPr>
            <w:r w:rsidRPr="005952CC">
              <w:rPr>
                <w:rFonts w:cs="Arial"/>
                <w:color w:val="000000"/>
                <w:sz w:val="18"/>
                <w:szCs w:val="18"/>
              </w:rPr>
              <w:t>20,9</w:t>
            </w:r>
          </w:p>
        </w:tc>
        <w:tc>
          <w:tcPr>
            <w:tcW w:w="716" w:type="dxa"/>
            <w:tcBorders>
              <w:top w:val="single" w:sz="4" w:space="0" w:color="auto"/>
              <w:left w:val="single" w:sz="4" w:space="0" w:color="auto"/>
              <w:bottom w:val="single" w:sz="4" w:space="0" w:color="auto"/>
              <w:right w:val="single" w:sz="12" w:space="0" w:color="auto"/>
            </w:tcBorders>
            <w:shd w:val="clear" w:color="000000" w:fill="FFFFFF"/>
            <w:vAlign w:val="center"/>
          </w:tcPr>
          <w:p w14:paraId="21D57DEC" w14:textId="77777777" w:rsidR="001676E4" w:rsidRPr="005952CC" w:rsidRDefault="001676E4" w:rsidP="003D66E5">
            <w:pPr>
              <w:jc w:val="right"/>
              <w:rPr>
                <w:rFonts w:cs="Arial"/>
                <w:color w:val="000000"/>
                <w:sz w:val="18"/>
                <w:szCs w:val="18"/>
              </w:rPr>
            </w:pPr>
            <w:r w:rsidRPr="005952CC">
              <w:rPr>
                <w:rFonts w:cs="Arial"/>
                <w:color w:val="000000"/>
                <w:sz w:val="18"/>
                <w:szCs w:val="18"/>
              </w:rPr>
              <w:t>20,0</w:t>
            </w:r>
          </w:p>
        </w:tc>
      </w:tr>
      <w:tr w:rsidR="001676E4" w:rsidRPr="005952CC" w14:paraId="15010BD9" w14:textId="77777777" w:rsidTr="003D66E5">
        <w:trPr>
          <w:cantSplit/>
          <w:trHeight w:val="504"/>
        </w:trPr>
        <w:tc>
          <w:tcPr>
            <w:tcW w:w="1276" w:type="dxa"/>
            <w:vMerge w:val="restart"/>
            <w:tcBorders>
              <w:top w:val="single" w:sz="12" w:space="0" w:color="auto"/>
              <w:left w:val="single" w:sz="12" w:space="0" w:color="000000"/>
              <w:right w:val="single" w:sz="4" w:space="0" w:color="auto"/>
            </w:tcBorders>
            <w:shd w:val="clear" w:color="000000" w:fill="FFFFFF"/>
          </w:tcPr>
          <w:p w14:paraId="0EFC26AA" w14:textId="77777777" w:rsidR="001676E4" w:rsidRPr="005952CC" w:rsidRDefault="001676E4" w:rsidP="003D66E5">
            <w:pPr>
              <w:widowControl w:val="0"/>
              <w:autoSpaceDE w:val="0"/>
              <w:autoSpaceDN w:val="0"/>
              <w:adjustRightInd w:val="0"/>
              <w:rPr>
                <w:rFonts w:cs="Arial"/>
                <w:color w:val="000000"/>
                <w:sz w:val="18"/>
                <w:szCs w:val="18"/>
              </w:rPr>
            </w:pPr>
            <w:r w:rsidRPr="005952CC">
              <w:rPr>
                <w:rFonts w:cs="Arial"/>
                <w:color w:val="000000"/>
                <w:sz w:val="18"/>
                <w:szCs w:val="18"/>
              </w:rPr>
              <w:t>Starsza kohorta (17-18 lat)</w:t>
            </w:r>
          </w:p>
        </w:tc>
        <w:tc>
          <w:tcPr>
            <w:tcW w:w="1985" w:type="dxa"/>
            <w:tcBorders>
              <w:top w:val="single" w:sz="12" w:space="0" w:color="auto"/>
              <w:left w:val="single" w:sz="4" w:space="0" w:color="auto"/>
              <w:bottom w:val="single" w:sz="4" w:space="0" w:color="auto"/>
              <w:right w:val="single" w:sz="12" w:space="0" w:color="auto"/>
            </w:tcBorders>
            <w:shd w:val="clear" w:color="000000" w:fill="FFFFFF"/>
          </w:tcPr>
          <w:p w14:paraId="7A64054F"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Typowy dzień roboczy</w:t>
            </w:r>
          </w:p>
        </w:tc>
        <w:tc>
          <w:tcPr>
            <w:tcW w:w="1054" w:type="dxa"/>
            <w:tcBorders>
              <w:top w:val="single" w:sz="12" w:space="0" w:color="auto"/>
              <w:left w:val="single" w:sz="12" w:space="0" w:color="auto"/>
              <w:bottom w:val="single" w:sz="4" w:space="0" w:color="auto"/>
              <w:right w:val="single" w:sz="4" w:space="0" w:color="auto"/>
            </w:tcBorders>
            <w:shd w:val="clear" w:color="000000" w:fill="FFFFFF"/>
            <w:vAlign w:val="center"/>
          </w:tcPr>
          <w:p w14:paraId="6A2C9D12" w14:textId="77777777" w:rsidR="001676E4" w:rsidRPr="005952CC" w:rsidRDefault="001676E4" w:rsidP="003D66E5">
            <w:pPr>
              <w:jc w:val="right"/>
              <w:rPr>
                <w:rFonts w:cs="Arial"/>
                <w:color w:val="000000"/>
                <w:sz w:val="18"/>
                <w:szCs w:val="18"/>
              </w:rPr>
            </w:pPr>
            <w:r w:rsidRPr="005952CC">
              <w:rPr>
                <w:rFonts w:cs="Arial"/>
                <w:color w:val="000000"/>
                <w:sz w:val="18"/>
                <w:szCs w:val="18"/>
              </w:rPr>
              <w:t>22,8</w:t>
            </w:r>
          </w:p>
        </w:tc>
        <w:tc>
          <w:tcPr>
            <w:tcW w:w="1054" w:type="dxa"/>
            <w:tcBorders>
              <w:top w:val="single" w:sz="12" w:space="0" w:color="auto"/>
              <w:left w:val="single" w:sz="4" w:space="0" w:color="auto"/>
              <w:bottom w:val="single" w:sz="4" w:space="0" w:color="auto"/>
              <w:right w:val="single" w:sz="4" w:space="0" w:color="auto"/>
            </w:tcBorders>
            <w:shd w:val="clear" w:color="000000" w:fill="FFFFFF"/>
            <w:vAlign w:val="center"/>
          </w:tcPr>
          <w:p w14:paraId="4C92BD64" w14:textId="77777777" w:rsidR="001676E4" w:rsidRPr="005952CC" w:rsidRDefault="001676E4" w:rsidP="003D66E5">
            <w:pPr>
              <w:jc w:val="right"/>
              <w:rPr>
                <w:rFonts w:cs="Arial"/>
                <w:color w:val="000000"/>
                <w:sz w:val="18"/>
                <w:szCs w:val="18"/>
              </w:rPr>
            </w:pPr>
            <w:r w:rsidRPr="005952CC">
              <w:rPr>
                <w:rFonts w:cs="Arial"/>
                <w:color w:val="000000"/>
                <w:sz w:val="18"/>
                <w:szCs w:val="18"/>
              </w:rPr>
              <w:t>14,2</w:t>
            </w:r>
          </w:p>
        </w:tc>
        <w:tc>
          <w:tcPr>
            <w:tcW w:w="1054" w:type="dxa"/>
            <w:tcBorders>
              <w:top w:val="single" w:sz="12" w:space="0" w:color="auto"/>
              <w:left w:val="single" w:sz="4" w:space="0" w:color="auto"/>
              <w:bottom w:val="single" w:sz="4" w:space="0" w:color="auto"/>
              <w:right w:val="single" w:sz="4" w:space="0" w:color="auto"/>
            </w:tcBorders>
            <w:shd w:val="clear" w:color="000000" w:fill="FFFFFF"/>
            <w:vAlign w:val="center"/>
          </w:tcPr>
          <w:p w14:paraId="347876DA" w14:textId="77777777" w:rsidR="001676E4" w:rsidRPr="005952CC" w:rsidRDefault="001676E4" w:rsidP="003D66E5">
            <w:pPr>
              <w:jc w:val="right"/>
              <w:rPr>
                <w:rFonts w:cs="Arial"/>
                <w:color w:val="000000"/>
                <w:sz w:val="18"/>
                <w:szCs w:val="18"/>
              </w:rPr>
            </w:pPr>
            <w:r w:rsidRPr="005952CC">
              <w:rPr>
                <w:rFonts w:cs="Arial"/>
                <w:color w:val="000000"/>
                <w:sz w:val="18"/>
                <w:szCs w:val="18"/>
              </w:rPr>
              <w:t>18,1</w:t>
            </w:r>
          </w:p>
        </w:tc>
        <w:tc>
          <w:tcPr>
            <w:tcW w:w="1055" w:type="dxa"/>
            <w:tcBorders>
              <w:top w:val="single" w:sz="12" w:space="0" w:color="auto"/>
              <w:left w:val="single" w:sz="4" w:space="0" w:color="auto"/>
              <w:bottom w:val="single" w:sz="4" w:space="0" w:color="auto"/>
              <w:right w:val="single" w:sz="4" w:space="0" w:color="auto"/>
            </w:tcBorders>
            <w:shd w:val="clear" w:color="000000" w:fill="FFFFFF"/>
            <w:vAlign w:val="center"/>
          </w:tcPr>
          <w:p w14:paraId="0C7454A7" w14:textId="77777777" w:rsidR="001676E4" w:rsidRPr="005952CC" w:rsidRDefault="001676E4" w:rsidP="003D66E5">
            <w:pPr>
              <w:jc w:val="right"/>
              <w:rPr>
                <w:rFonts w:cs="Arial"/>
                <w:color w:val="000000"/>
                <w:sz w:val="18"/>
                <w:szCs w:val="18"/>
              </w:rPr>
            </w:pPr>
            <w:r w:rsidRPr="005952CC">
              <w:rPr>
                <w:rFonts w:cs="Arial"/>
                <w:color w:val="000000"/>
                <w:sz w:val="18"/>
                <w:szCs w:val="18"/>
              </w:rPr>
              <w:t>25,5</w:t>
            </w:r>
          </w:p>
        </w:tc>
        <w:tc>
          <w:tcPr>
            <w:tcW w:w="1054" w:type="dxa"/>
            <w:tcBorders>
              <w:top w:val="single" w:sz="12" w:space="0" w:color="auto"/>
              <w:left w:val="single" w:sz="4" w:space="0" w:color="auto"/>
              <w:bottom w:val="single" w:sz="4" w:space="0" w:color="auto"/>
              <w:right w:val="single" w:sz="4" w:space="0" w:color="auto"/>
            </w:tcBorders>
            <w:shd w:val="clear" w:color="000000" w:fill="FFFFFF"/>
            <w:vAlign w:val="center"/>
          </w:tcPr>
          <w:p w14:paraId="65E03AC5" w14:textId="77777777" w:rsidR="001676E4" w:rsidRPr="005952CC" w:rsidRDefault="001676E4" w:rsidP="003D66E5">
            <w:pPr>
              <w:jc w:val="right"/>
              <w:rPr>
                <w:rFonts w:cs="Arial"/>
                <w:color w:val="000000"/>
                <w:sz w:val="18"/>
                <w:szCs w:val="18"/>
              </w:rPr>
            </w:pPr>
            <w:r w:rsidRPr="005952CC">
              <w:rPr>
                <w:rFonts w:cs="Arial"/>
                <w:color w:val="000000"/>
                <w:sz w:val="18"/>
                <w:szCs w:val="18"/>
              </w:rPr>
              <w:t>10,4</w:t>
            </w:r>
          </w:p>
        </w:tc>
        <w:tc>
          <w:tcPr>
            <w:tcW w:w="716" w:type="dxa"/>
            <w:tcBorders>
              <w:top w:val="single" w:sz="12" w:space="0" w:color="auto"/>
              <w:left w:val="single" w:sz="4" w:space="0" w:color="auto"/>
              <w:bottom w:val="single" w:sz="4" w:space="0" w:color="auto"/>
              <w:right w:val="single" w:sz="12" w:space="0" w:color="auto"/>
            </w:tcBorders>
            <w:shd w:val="clear" w:color="000000" w:fill="FFFFFF"/>
            <w:vAlign w:val="center"/>
          </w:tcPr>
          <w:p w14:paraId="663B88EE" w14:textId="77777777" w:rsidR="001676E4" w:rsidRPr="005952CC" w:rsidRDefault="001676E4" w:rsidP="003D66E5">
            <w:pPr>
              <w:jc w:val="right"/>
              <w:rPr>
                <w:rFonts w:cs="Arial"/>
                <w:color w:val="000000"/>
                <w:sz w:val="18"/>
                <w:szCs w:val="18"/>
              </w:rPr>
            </w:pPr>
            <w:r w:rsidRPr="005952CC">
              <w:rPr>
                <w:rFonts w:cs="Arial"/>
                <w:color w:val="000000"/>
                <w:sz w:val="18"/>
                <w:szCs w:val="18"/>
              </w:rPr>
              <w:t>9,0</w:t>
            </w:r>
          </w:p>
        </w:tc>
      </w:tr>
      <w:tr w:rsidR="001676E4" w:rsidRPr="005952CC" w14:paraId="7DB219A0" w14:textId="77777777" w:rsidTr="003D66E5">
        <w:trPr>
          <w:cantSplit/>
          <w:trHeight w:val="504"/>
        </w:trPr>
        <w:tc>
          <w:tcPr>
            <w:tcW w:w="1276" w:type="dxa"/>
            <w:vMerge/>
            <w:tcBorders>
              <w:left w:val="single" w:sz="12" w:space="0" w:color="000000"/>
              <w:bottom w:val="single" w:sz="12" w:space="0" w:color="auto"/>
              <w:right w:val="single" w:sz="4" w:space="0" w:color="auto"/>
            </w:tcBorders>
            <w:shd w:val="clear" w:color="000000" w:fill="FFFFFF"/>
          </w:tcPr>
          <w:p w14:paraId="64304132" w14:textId="77777777" w:rsidR="001676E4" w:rsidRPr="005952CC" w:rsidRDefault="001676E4" w:rsidP="003D66E5">
            <w:pPr>
              <w:widowControl w:val="0"/>
              <w:autoSpaceDE w:val="0"/>
              <w:autoSpaceDN w:val="0"/>
              <w:adjustRightInd w:val="0"/>
              <w:rPr>
                <w:rFonts w:cs="Arial"/>
                <w:color w:val="000000"/>
                <w:sz w:val="18"/>
                <w:szCs w:val="18"/>
              </w:rPr>
            </w:pPr>
          </w:p>
        </w:tc>
        <w:tc>
          <w:tcPr>
            <w:tcW w:w="1985" w:type="dxa"/>
            <w:tcBorders>
              <w:top w:val="single" w:sz="4" w:space="0" w:color="auto"/>
              <w:left w:val="single" w:sz="4" w:space="0" w:color="auto"/>
              <w:bottom w:val="single" w:sz="12" w:space="0" w:color="auto"/>
              <w:right w:val="single" w:sz="12" w:space="0" w:color="auto"/>
            </w:tcBorders>
            <w:shd w:val="clear" w:color="000000" w:fill="FFFFFF"/>
          </w:tcPr>
          <w:p w14:paraId="2A42124D"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Typowy dzień weekendowy</w:t>
            </w:r>
          </w:p>
        </w:tc>
        <w:tc>
          <w:tcPr>
            <w:tcW w:w="1054" w:type="dxa"/>
            <w:tcBorders>
              <w:top w:val="single" w:sz="4" w:space="0" w:color="auto"/>
              <w:left w:val="single" w:sz="12" w:space="0" w:color="auto"/>
              <w:bottom w:val="single" w:sz="12" w:space="0" w:color="auto"/>
              <w:right w:val="single" w:sz="4" w:space="0" w:color="auto"/>
            </w:tcBorders>
            <w:shd w:val="clear" w:color="000000" w:fill="FFFFFF"/>
            <w:vAlign w:val="center"/>
          </w:tcPr>
          <w:p w14:paraId="43C4E678" w14:textId="77777777" w:rsidR="001676E4" w:rsidRPr="005952CC" w:rsidRDefault="001676E4" w:rsidP="003D66E5">
            <w:pPr>
              <w:jc w:val="right"/>
              <w:rPr>
                <w:rFonts w:cs="Arial"/>
                <w:color w:val="000000"/>
                <w:sz w:val="18"/>
                <w:szCs w:val="18"/>
              </w:rPr>
            </w:pPr>
            <w:r w:rsidRPr="005952CC">
              <w:rPr>
                <w:rFonts w:cs="Arial"/>
                <w:color w:val="000000"/>
                <w:sz w:val="18"/>
                <w:szCs w:val="18"/>
              </w:rPr>
              <w:t>18,3</w:t>
            </w:r>
          </w:p>
        </w:tc>
        <w:tc>
          <w:tcPr>
            <w:tcW w:w="1054" w:type="dxa"/>
            <w:tcBorders>
              <w:top w:val="single" w:sz="4" w:space="0" w:color="auto"/>
              <w:left w:val="single" w:sz="4" w:space="0" w:color="auto"/>
              <w:bottom w:val="single" w:sz="12" w:space="0" w:color="auto"/>
              <w:right w:val="single" w:sz="4" w:space="0" w:color="auto"/>
            </w:tcBorders>
            <w:shd w:val="clear" w:color="000000" w:fill="FFFFFF"/>
            <w:vAlign w:val="center"/>
          </w:tcPr>
          <w:p w14:paraId="73CA62E8" w14:textId="77777777" w:rsidR="001676E4" w:rsidRPr="005952CC" w:rsidRDefault="001676E4" w:rsidP="003D66E5">
            <w:pPr>
              <w:jc w:val="right"/>
              <w:rPr>
                <w:rFonts w:cs="Arial"/>
                <w:color w:val="000000"/>
                <w:sz w:val="18"/>
                <w:szCs w:val="18"/>
              </w:rPr>
            </w:pPr>
            <w:r w:rsidRPr="005952CC">
              <w:rPr>
                <w:rFonts w:cs="Arial"/>
                <w:color w:val="000000"/>
                <w:sz w:val="18"/>
                <w:szCs w:val="18"/>
              </w:rPr>
              <w:t>9,9</w:t>
            </w:r>
          </w:p>
        </w:tc>
        <w:tc>
          <w:tcPr>
            <w:tcW w:w="1054" w:type="dxa"/>
            <w:tcBorders>
              <w:top w:val="single" w:sz="4" w:space="0" w:color="auto"/>
              <w:left w:val="single" w:sz="4" w:space="0" w:color="auto"/>
              <w:bottom w:val="single" w:sz="12" w:space="0" w:color="auto"/>
              <w:right w:val="single" w:sz="4" w:space="0" w:color="auto"/>
            </w:tcBorders>
            <w:shd w:val="clear" w:color="000000" w:fill="FFFFFF"/>
            <w:vAlign w:val="center"/>
          </w:tcPr>
          <w:p w14:paraId="36414BE7" w14:textId="77777777" w:rsidR="001676E4" w:rsidRPr="005952CC" w:rsidRDefault="001676E4" w:rsidP="003D66E5">
            <w:pPr>
              <w:jc w:val="right"/>
              <w:rPr>
                <w:rFonts w:cs="Arial"/>
                <w:color w:val="000000"/>
                <w:sz w:val="18"/>
                <w:szCs w:val="18"/>
              </w:rPr>
            </w:pPr>
            <w:r w:rsidRPr="005952CC">
              <w:rPr>
                <w:rFonts w:cs="Arial"/>
                <w:color w:val="000000"/>
                <w:sz w:val="18"/>
                <w:szCs w:val="18"/>
              </w:rPr>
              <w:t>10,9</w:t>
            </w:r>
          </w:p>
        </w:tc>
        <w:tc>
          <w:tcPr>
            <w:tcW w:w="1055" w:type="dxa"/>
            <w:tcBorders>
              <w:top w:val="single" w:sz="4" w:space="0" w:color="auto"/>
              <w:left w:val="single" w:sz="4" w:space="0" w:color="auto"/>
              <w:bottom w:val="single" w:sz="12" w:space="0" w:color="auto"/>
              <w:right w:val="single" w:sz="4" w:space="0" w:color="auto"/>
            </w:tcBorders>
            <w:shd w:val="clear" w:color="000000" w:fill="FFFFFF"/>
            <w:vAlign w:val="center"/>
          </w:tcPr>
          <w:p w14:paraId="0209ACDF" w14:textId="77777777" w:rsidR="001676E4" w:rsidRPr="005952CC" w:rsidRDefault="001676E4" w:rsidP="003D66E5">
            <w:pPr>
              <w:jc w:val="right"/>
              <w:rPr>
                <w:rFonts w:cs="Arial"/>
                <w:color w:val="000000"/>
                <w:sz w:val="18"/>
                <w:szCs w:val="18"/>
              </w:rPr>
            </w:pPr>
            <w:r w:rsidRPr="005952CC">
              <w:rPr>
                <w:rFonts w:cs="Arial"/>
                <w:color w:val="000000"/>
                <w:sz w:val="18"/>
                <w:szCs w:val="18"/>
              </w:rPr>
              <w:t>21,8</w:t>
            </w:r>
          </w:p>
        </w:tc>
        <w:tc>
          <w:tcPr>
            <w:tcW w:w="1054" w:type="dxa"/>
            <w:tcBorders>
              <w:top w:val="single" w:sz="4" w:space="0" w:color="auto"/>
              <w:left w:val="single" w:sz="4" w:space="0" w:color="auto"/>
              <w:bottom w:val="single" w:sz="12" w:space="0" w:color="auto"/>
              <w:right w:val="single" w:sz="4" w:space="0" w:color="auto"/>
            </w:tcBorders>
            <w:shd w:val="clear" w:color="000000" w:fill="FFFFFF"/>
            <w:vAlign w:val="center"/>
          </w:tcPr>
          <w:p w14:paraId="48399338" w14:textId="77777777" w:rsidR="001676E4" w:rsidRPr="005952CC" w:rsidRDefault="001676E4" w:rsidP="003D66E5">
            <w:pPr>
              <w:jc w:val="right"/>
              <w:rPr>
                <w:rFonts w:cs="Arial"/>
                <w:color w:val="000000"/>
                <w:sz w:val="18"/>
                <w:szCs w:val="18"/>
              </w:rPr>
            </w:pPr>
            <w:r w:rsidRPr="005952CC">
              <w:rPr>
                <w:rFonts w:cs="Arial"/>
                <w:color w:val="000000"/>
                <w:sz w:val="18"/>
                <w:szCs w:val="18"/>
              </w:rPr>
              <w:t>18,9</w:t>
            </w:r>
          </w:p>
        </w:tc>
        <w:tc>
          <w:tcPr>
            <w:tcW w:w="716" w:type="dxa"/>
            <w:tcBorders>
              <w:top w:val="single" w:sz="4" w:space="0" w:color="auto"/>
              <w:left w:val="single" w:sz="4" w:space="0" w:color="auto"/>
              <w:bottom w:val="single" w:sz="12" w:space="0" w:color="auto"/>
              <w:right w:val="single" w:sz="12" w:space="0" w:color="auto"/>
            </w:tcBorders>
            <w:shd w:val="clear" w:color="000000" w:fill="FFFFFF"/>
            <w:vAlign w:val="center"/>
          </w:tcPr>
          <w:p w14:paraId="63D1ABA1" w14:textId="77777777" w:rsidR="001676E4" w:rsidRPr="005952CC" w:rsidRDefault="001676E4" w:rsidP="003D66E5">
            <w:pPr>
              <w:jc w:val="right"/>
              <w:rPr>
                <w:rFonts w:cs="Arial"/>
                <w:color w:val="000000"/>
                <w:sz w:val="18"/>
                <w:szCs w:val="18"/>
              </w:rPr>
            </w:pPr>
            <w:r w:rsidRPr="005952CC">
              <w:rPr>
                <w:rFonts w:cs="Arial"/>
                <w:color w:val="000000"/>
                <w:sz w:val="18"/>
                <w:szCs w:val="18"/>
              </w:rPr>
              <w:t>20,1</w:t>
            </w:r>
          </w:p>
        </w:tc>
      </w:tr>
    </w:tbl>
    <w:p w14:paraId="7F178154"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46231B8A" w14:textId="77777777" w:rsidR="001676E4" w:rsidRPr="00317DE2" w:rsidRDefault="001676E4" w:rsidP="001676E4">
      <w:pPr>
        <w:widowControl w:val="0"/>
        <w:tabs>
          <w:tab w:val="center" w:pos="3456"/>
        </w:tabs>
        <w:autoSpaceDE w:val="0"/>
        <w:autoSpaceDN w:val="0"/>
        <w:adjustRightInd w:val="0"/>
        <w:spacing w:after="0" w:line="360" w:lineRule="auto"/>
        <w:ind w:firstLine="567"/>
        <w:jc w:val="both"/>
        <w:rPr>
          <w:rFonts w:cs="Arial"/>
          <w:color w:val="000000"/>
          <w:sz w:val="22"/>
          <w:szCs w:val="22"/>
        </w:rPr>
      </w:pPr>
      <w:r w:rsidRPr="00317DE2">
        <w:rPr>
          <w:rFonts w:cs="Arial"/>
          <w:color w:val="000000"/>
          <w:sz w:val="22"/>
          <w:szCs w:val="22"/>
        </w:rPr>
        <w:t>Najwięcej osób z młodszej kohorty grało w ciągu ostatnich 7 dni poprzedzających badanie codziennie (27,8%). Podobnie jest w starszej kohorcie, gdzie co czwarty uczeń grał codziennie. Warto podkreślić, że dość duże odsetki respondentów w ogóle nie grają na urządzeniach elektronicznych. W młodszej kohorcie jest to co piąty uczeń, a w starszej co czwarty.</w:t>
      </w:r>
    </w:p>
    <w:p w14:paraId="4BE45ACB" w14:textId="77777777" w:rsidR="001676E4" w:rsidRPr="00317DE2" w:rsidRDefault="001676E4" w:rsidP="001676E4">
      <w:pPr>
        <w:widowControl w:val="0"/>
        <w:tabs>
          <w:tab w:val="center" w:pos="3456"/>
        </w:tabs>
        <w:autoSpaceDE w:val="0"/>
        <w:autoSpaceDN w:val="0"/>
        <w:adjustRightInd w:val="0"/>
        <w:spacing w:after="0" w:line="360" w:lineRule="auto"/>
        <w:ind w:firstLine="567"/>
        <w:jc w:val="both"/>
        <w:rPr>
          <w:rFonts w:cs="Arial"/>
          <w:color w:val="000000"/>
          <w:sz w:val="22"/>
          <w:szCs w:val="22"/>
        </w:rPr>
      </w:pPr>
      <w:r w:rsidRPr="00317DE2">
        <w:rPr>
          <w:rFonts w:cs="Arial"/>
          <w:color w:val="000000"/>
          <w:sz w:val="22"/>
          <w:szCs w:val="22"/>
        </w:rPr>
        <w:t>Porównując liczbę dni spędzanych na graniu między uczniami z województwa lubelskiego i tych z populacji generalnej to w obu kohortach obserwuje się wartości zbliżone do siebie. Występujące różnice są niewielkie.</w:t>
      </w:r>
    </w:p>
    <w:p w14:paraId="127BF989" w14:textId="79E214AC" w:rsidR="001676E4" w:rsidRPr="00A43860" w:rsidRDefault="001676E4" w:rsidP="001676E4">
      <w:pPr>
        <w:pStyle w:val="Legenda"/>
        <w:keepNext/>
        <w:rPr>
          <w:sz w:val="20"/>
          <w:szCs w:val="16"/>
        </w:rPr>
      </w:pPr>
      <w:bookmarkStart w:id="115" w:name="_Toc214279719"/>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34</w:t>
      </w:r>
      <w:r w:rsidRPr="00A43860">
        <w:rPr>
          <w:sz w:val="20"/>
          <w:szCs w:val="16"/>
        </w:rPr>
        <w:fldChar w:fldCharType="end"/>
      </w:r>
      <w:r w:rsidRPr="00A43860">
        <w:rPr>
          <w:sz w:val="20"/>
          <w:szCs w:val="16"/>
        </w:rPr>
        <w:t>. Liczba dni spędzony na grach na urządzeniach elektronicznych w czasie ostatnich 7 dni</w:t>
      </w:r>
      <w:bookmarkEnd w:id="115"/>
    </w:p>
    <w:tbl>
      <w:tblPr>
        <w:tblW w:w="0" w:type="auto"/>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93"/>
        <w:gridCol w:w="2180"/>
        <w:gridCol w:w="8"/>
        <w:gridCol w:w="2172"/>
        <w:gridCol w:w="8"/>
        <w:gridCol w:w="2172"/>
        <w:gridCol w:w="8"/>
      </w:tblGrid>
      <w:tr w:rsidR="001676E4" w:rsidRPr="0092722E" w14:paraId="3C491E84" w14:textId="77777777" w:rsidTr="003D66E5">
        <w:trPr>
          <w:trHeight w:val="285"/>
        </w:trPr>
        <w:tc>
          <w:tcPr>
            <w:tcW w:w="2093" w:type="dxa"/>
            <w:tcBorders>
              <w:bottom w:val="single" w:sz="12" w:space="0" w:color="auto"/>
            </w:tcBorders>
          </w:tcPr>
          <w:p w14:paraId="3920C3CD" w14:textId="77777777" w:rsidR="001676E4" w:rsidRPr="0092722E" w:rsidRDefault="001676E4" w:rsidP="003D66E5">
            <w:pPr>
              <w:widowControl w:val="0"/>
              <w:tabs>
                <w:tab w:val="center" w:pos="3456"/>
              </w:tabs>
              <w:autoSpaceDE w:val="0"/>
              <w:autoSpaceDN w:val="0"/>
              <w:adjustRightInd w:val="0"/>
              <w:spacing w:after="120"/>
              <w:jc w:val="center"/>
              <w:rPr>
                <w:rFonts w:cs="Arial"/>
                <w:b/>
                <w:bCs/>
                <w:sz w:val="18"/>
                <w:szCs w:val="18"/>
              </w:rPr>
            </w:pPr>
            <w:r w:rsidRPr="0092722E">
              <w:rPr>
                <w:rFonts w:cs="Arial"/>
                <w:b/>
                <w:bCs/>
                <w:color w:val="000000"/>
                <w:sz w:val="18"/>
                <w:szCs w:val="18"/>
              </w:rPr>
              <w:t>Kohorta</w:t>
            </w:r>
          </w:p>
        </w:tc>
        <w:tc>
          <w:tcPr>
            <w:tcW w:w="2188" w:type="dxa"/>
            <w:gridSpan w:val="2"/>
          </w:tcPr>
          <w:p w14:paraId="390470CE" w14:textId="77777777" w:rsidR="001676E4" w:rsidRPr="0092722E" w:rsidRDefault="001676E4" w:rsidP="003D66E5">
            <w:pPr>
              <w:widowControl w:val="0"/>
              <w:tabs>
                <w:tab w:val="center" w:pos="3456"/>
              </w:tabs>
              <w:autoSpaceDE w:val="0"/>
              <w:autoSpaceDN w:val="0"/>
              <w:adjustRightInd w:val="0"/>
              <w:spacing w:after="120"/>
              <w:jc w:val="center"/>
              <w:rPr>
                <w:rFonts w:cs="Arial"/>
                <w:b/>
                <w:bCs/>
                <w:sz w:val="18"/>
                <w:szCs w:val="18"/>
              </w:rPr>
            </w:pPr>
          </w:p>
        </w:tc>
        <w:tc>
          <w:tcPr>
            <w:tcW w:w="2180" w:type="dxa"/>
            <w:gridSpan w:val="2"/>
          </w:tcPr>
          <w:p w14:paraId="7A6866CC" w14:textId="77777777" w:rsidR="001676E4" w:rsidRPr="0092722E" w:rsidRDefault="001676E4" w:rsidP="003D66E5">
            <w:pPr>
              <w:widowControl w:val="0"/>
              <w:tabs>
                <w:tab w:val="center" w:pos="3456"/>
              </w:tabs>
              <w:autoSpaceDE w:val="0"/>
              <w:autoSpaceDN w:val="0"/>
              <w:adjustRightInd w:val="0"/>
              <w:spacing w:after="120"/>
              <w:jc w:val="center"/>
              <w:rPr>
                <w:rFonts w:cs="Arial"/>
                <w:b/>
                <w:bCs/>
                <w:sz w:val="18"/>
                <w:szCs w:val="18"/>
              </w:rPr>
            </w:pPr>
            <w:r w:rsidRPr="0092722E">
              <w:rPr>
                <w:rFonts w:cs="Arial"/>
                <w:b/>
                <w:bCs/>
                <w:sz w:val="18"/>
                <w:szCs w:val="18"/>
              </w:rPr>
              <w:t>Lubelskie</w:t>
            </w:r>
          </w:p>
        </w:tc>
        <w:tc>
          <w:tcPr>
            <w:tcW w:w="2180" w:type="dxa"/>
            <w:gridSpan w:val="2"/>
          </w:tcPr>
          <w:p w14:paraId="123CA9C1" w14:textId="77777777" w:rsidR="001676E4" w:rsidRPr="0092722E" w:rsidRDefault="001676E4" w:rsidP="003D66E5">
            <w:pPr>
              <w:widowControl w:val="0"/>
              <w:tabs>
                <w:tab w:val="center" w:pos="3456"/>
              </w:tabs>
              <w:autoSpaceDE w:val="0"/>
              <w:autoSpaceDN w:val="0"/>
              <w:adjustRightInd w:val="0"/>
              <w:spacing w:after="120"/>
              <w:jc w:val="center"/>
              <w:rPr>
                <w:rFonts w:cs="Arial"/>
                <w:b/>
                <w:bCs/>
                <w:sz w:val="18"/>
                <w:szCs w:val="18"/>
              </w:rPr>
            </w:pPr>
            <w:r w:rsidRPr="0092722E">
              <w:rPr>
                <w:rFonts w:cs="Arial"/>
                <w:b/>
                <w:bCs/>
                <w:sz w:val="18"/>
                <w:szCs w:val="18"/>
              </w:rPr>
              <w:t>Polska</w:t>
            </w:r>
          </w:p>
        </w:tc>
      </w:tr>
      <w:tr w:rsidR="001676E4" w:rsidRPr="005952CC" w14:paraId="4FBAB437"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val="restart"/>
            <w:tcBorders>
              <w:top w:val="single" w:sz="12" w:space="0" w:color="auto"/>
              <w:left w:val="single" w:sz="12" w:space="0" w:color="auto"/>
              <w:right w:val="single" w:sz="4" w:space="0" w:color="auto"/>
            </w:tcBorders>
          </w:tcPr>
          <w:p w14:paraId="5C2479C7"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Młodsza kohorta (15-16 lat)</w:t>
            </w:r>
          </w:p>
          <w:p w14:paraId="7E60C099"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left w:val="single" w:sz="12" w:space="0" w:color="auto"/>
              <w:bottom w:val="nil"/>
              <w:right w:val="single" w:sz="4" w:space="0" w:color="auto"/>
            </w:tcBorders>
          </w:tcPr>
          <w:p w14:paraId="60C9B0B4" w14:textId="77777777" w:rsidR="001676E4" w:rsidRPr="005952CC" w:rsidRDefault="001676E4" w:rsidP="003D66E5">
            <w:pPr>
              <w:spacing w:after="120"/>
              <w:rPr>
                <w:rFonts w:cs="Arial"/>
                <w:color w:val="000000"/>
                <w:sz w:val="18"/>
                <w:szCs w:val="18"/>
              </w:rPr>
            </w:pPr>
            <w:r w:rsidRPr="005952CC">
              <w:rPr>
                <w:rFonts w:cs="Arial"/>
                <w:color w:val="000000"/>
                <w:sz w:val="18"/>
                <w:szCs w:val="18"/>
              </w:rPr>
              <w:t>Nie</w:t>
            </w:r>
          </w:p>
        </w:tc>
        <w:tc>
          <w:tcPr>
            <w:tcW w:w="2180" w:type="dxa"/>
            <w:gridSpan w:val="2"/>
            <w:tcBorders>
              <w:left w:val="single" w:sz="4" w:space="0" w:color="auto"/>
              <w:bottom w:val="nil"/>
              <w:right w:val="single" w:sz="12" w:space="0" w:color="auto"/>
            </w:tcBorders>
            <w:noWrap/>
            <w:vAlign w:val="center"/>
          </w:tcPr>
          <w:p w14:paraId="348CE4CC" w14:textId="77777777" w:rsidR="001676E4" w:rsidRPr="005952CC" w:rsidRDefault="001676E4" w:rsidP="003D66E5">
            <w:pPr>
              <w:jc w:val="right"/>
              <w:rPr>
                <w:rFonts w:cs="Arial"/>
                <w:color w:val="000000"/>
                <w:sz w:val="18"/>
                <w:szCs w:val="18"/>
              </w:rPr>
            </w:pPr>
            <w:r w:rsidRPr="005952CC">
              <w:rPr>
                <w:rFonts w:cs="Arial"/>
                <w:color w:val="000000"/>
                <w:sz w:val="18"/>
                <w:szCs w:val="18"/>
              </w:rPr>
              <w:t>19,4</w:t>
            </w:r>
          </w:p>
        </w:tc>
        <w:tc>
          <w:tcPr>
            <w:tcW w:w="2180" w:type="dxa"/>
            <w:gridSpan w:val="2"/>
            <w:tcBorders>
              <w:left w:val="single" w:sz="4" w:space="0" w:color="auto"/>
              <w:bottom w:val="nil"/>
              <w:right w:val="single" w:sz="12" w:space="0" w:color="auto"/>
            </w:tcBorders>
            <w:vAlign w:val="center"/>
          </w:tcPr>
          <w:p w14:paraId="1C32462C" w14:textId="77777777" w:rsidR="001676E4" w:rsidRPr="005952CC" w:rsidRDefault="001676E4" w:rsidP="003D66E5">
            <w:pPr>
              <w:jc w:val="right"/>
              <w:rPr>
                <w:rFonts w:cs="Arial"/>
                <w:color w:val="000000"/>
                <w:sz w:val="18"/>
                <w:szCs w:val="18"/>
              </w:rPr>
            </w:pPr>
            <w:r w:rsidRPr="005952CC">
              <w:rPr>
                <w:rFonts w:cs="Arial"/>
                <w:color w:val="000000"/>
                <w:sz w:val="18"/>
                <w:szCs w:val="18"/>
              </w:rPr>
              <w:t>21,3</w:t>
            </w:r>
          </w:p>
        </w:tc>
      </w:tr>
      <w:tr w:rsidR="001676E4" w:rsidRPr="005952CC" w14:paraId="05AA03CD"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top w:val="single" w:sz="12" w:space="0" w:color="auto"/>
              <w:left w:val="single" w:sz="12" w:space="0" w:color="auto"/>
              <w:right w:val="single" w:sz="4" w:space="0" w:color="auto"/>
            </w:tcBorders>
          </w:tcPr>
          <w:p w14:paraId="48A07E97" w14:textId="77777777" w:rsidR="001676E4" w:rsidRPr="005952CC" w:rsidRDefault="001676E4" w:rsidP="003D66E5">
            <w:pPr>
              <w:widowControl w:val="0"/>
              <w:autoSpaceDE w:val="0"/>
              <w:autoSpaceDN w:val="0"/>
              <w:adjustRightInd w:val="0"/>
              <w:spacing w:after="120"/>
              <w:rPr>
                <w:rFonts w:cs="Arial"/>
                <w:color w:val="000000"/>
                <w:sz w:val="18"/>
                <w:szCs w:val="18"/>
              </w:rPr>
            </w:pPr>
          </w:p>
        </w:tc>
        <w:tc>
          <w:tcPr>
            <w:tcW w:w="2180" w:type="dxa"/>
            <w:tcBorders>
              <w:top w:val="nil"/>
              <w:left w:val="single" w:sz="12" w:space="0" w:color="auto"/>
              <w:bottom w:val="nil"/>
              <w:right w:val="single" w:sz="4" w:space="0" w:color="auto"/>
            </w:tcBorders>
          </w:tcPr>
          <w:p w14:paraId="5025542D" w14:textId="77777777" w:rsidR="001676E4" w:rsidRPr="005952CC" w:rsidRDefault="001676E4" w:rsidP="003D66E5">
            <w:pPr>
              <w:spacing w:after="120"/>
              <w:rPr>
                <w:rFonts w:cs="Arial"/>
                <w:color w:val="000000"/>
                <w:sz w:val="18"/>
                <w:szCs w:val="18"/>
              </w:rPr>
            </w:pPr>
            <w:r w:rsidRPr="005952CC">
              <w:rPr>
                <w:rFonts w:cs="Arial"/>
                <w:color w:val="000000"/>
                <w:sz w:val="18"/>
                <w:szCs w:val="18"/>
              </w:rPr>
              <w:t>1 dzień</w:t>
            </w:r>
          </w:p>
        </w:tc>
        <w:tc>
          <w:tcPr>
            <w:tcW w:w="2180" w:type="dxa"/>
            <w:gridSpan w:val="2"/>
            <w:tcBorders>
              <w:top w:val="nil"/>
              <w:left w:val="single" w:sz="4" w:space="0" w:color="auto"/>
              <w:bottom w:val="nil"/>
              <w:right w:val="single" w:sz="12" w:space="0" w:color="auto"/>
            </w:tcBorders>
            <w:noWrap/>
            <w:vAlign w:val="center"/>
          </w:tcPr>
          <w:p w14:paraId="431B1CB6" w14:textId="77777777" w:rsidR="001676E4" w:rsidRPr="005952CC" w:rsidRDefault="001676E4" w:rsidP="003D66E5">
            <w:pPr>
              <w:jc w:val="right"/>
              <w:rPr>
                <w:rFonts w:cs="Arial"/>
                <w:color w:val="000000"/>
                <w:sz w:val="18"/>
                <w:szCs w:val="18"/>
              </w:rPr>
            </w:pPr>
            <w:r w:rsidRPr="005952CC">
              <w:rPr>
                <w:rFonts w:cs="Arial"/>
                <w:color w:val="000000"/>
                <w:sz w:val="18"/>
                <w:szCs w:val="18"/>
              </w:rPr>
              <w:t>11,6</w:t>
            </w:r>
          </w:p>
        </w:tc>
        <w:tc>
          <w:tcPr>
            <w:tcW w:w="2180" w:type="dxa"/>
            <w:gridSpan w:val="2"/>
            <w:tcBorders>
              <w:top w:val="nil"/>
              <w:left w:val="single" w:sz="4" w:space="0" w:color="auto"/>
              <w:bottom w:val="nil"/>
              <w:right w:val="single" w:sz="12" w:space="0" w:color="auto"/>
            </w:tcBorders>
            <w:vAlign w:val="center"/>
          </w:tcPr>
          <w:p w14:paraId="02294E35" w14:textId="77777777" w:rsidR="001676E4" w:rsidRPr="005952CC" w:rsidRDefault="001676E4" w:rsidP="003D66E5">
            <w:pPr>
              <w:jc w:val="right"/>
              <w:rPr>
                <w:rFonts w:cs="Arial"/>
                <w:color w:val="000000"/>
                <w:sz w:val="18"/>
                <w:szCs w:val="18"/>
              </w:rPr>
            </w:pPr>
            <w:r w:rsidRPr="005952CC">
              <w:rPr>
                <w:rFonts w:cs="Arial"/>
                <w:color w:val="000000"/>
                <w:sz w:val="18"/>
                <w:szCs w:val="18"/>
              </w:rPr>
              <w:t>12,4</w:t>
            </w:r>
          </w:p>
        </w:tc>
      </w:tr>
      <w:tr w:rsidR="001676E4" w:rsidRPr="005952CC" w14:paraId="090A4453"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right w:val="single" w:sz="4" w:space="0" w:color="auto"/>
            </w:tcBorders>
          </w:tcPr>
          <w:p w14:paraId="666079F5"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1E339C77" w14:textId="77777777" w:rsidR="001676E4" w:rsidRPr="005952CC" w:rsidRDefault="001676E4" w:rsidP="003D66E5">
            <w:pPr>
              <w:spacing w:after="120"/>
              <w:rPr>
                <w:rFonts w:cs="Arial"/>
                <w:color w:val="000000"/>
                <w:sz w:val="18"/>
                <w:szCs w:val="18"/>
              </w:rPr>
            </w:pPr>
            <w:r w:rsidRPr="005952CC">
              <w:rPr>
                <w:rFonts w:cs="Arial"/>
                <w:color w:val="000000"/>
                <w:sz w:val="18"/>
                <w:szCs w:val="18"/>
              </w:rPr>
              <w:t>2 dni</w:t>
            </w:r>
          </w:p>
        </w:tc>
        <w:tc>
          <w:tcPr>
            <w:tcW w:w="2180" w:type="dxa"/>
            <w:gridSpan w:val="2"/>
            <w:tcBorders>
              <w:top w:val="nil"/>
              <w:bottom w:val="nil"/>
              <w:right w:val="single" w:sz="12" w:space="0" w:color="auto"/>
            </w:tcBorders>
            <w:noWrap/>
            <w:vAlign w:val="center"/>
          </w:tcPr>
          <w:p w14:paraId="3D063E13" w14:textId="77777777" w:rsidR="001676E4" w:rsidRPr="005952CC" w:rsidRDefault="001676E4" w:rsidP="003D66E5">
            <w:pPr>
              <w:jc w:val="right"/>
              <w:rPr>
                <w:rFonts w:cs="Arial"/>
                <w:color w:val="000000"/>
                <w:sz w:val="18"/>
                <w:szCs w:val="18"/>
              </w:rPr>
            </w:pPr>
            <w:r w:rsidRPr="005952CC">
              <w:rPr>
                <w:rFonts w:cs="Arial"/>
                <w:color w:val="000000"/>
                <w:sz w:val="18"/>
                <w:szCs w:val="18"/>
              </w:rPr>
              <w:t>9,7</w:t>
            </w:r>
          </w:p>
        </w:tc>
        <w:tc>
          <w:tcPr>
            <w:tcW w:w="2180" w:type="dxa"/>
            <w:gridSpan w:val="2"/>
            <w:tcBorders>
              <w:top w:val="nil"/>
              <w:bottom w:val="nil"/>
              <w:right w:val="single" w:sz="12" w:space="0" w:color="auto"/>
            </w:tcBorders>
            <w:vAlign w:val="center"/>
          </w:tcPr>
          <w:p w14:paraId="33882543" w14:textId="77777777" w:rsidR="001676E4" w:rsidRPr="005952CC" w:rsidRDefault="001676E4" w:rsidP="003D66E5">
            <w:pPr>
              <w:jc w:val="right"/>
              <w:rPr>
                <w:rFonts w:cs="Arial"/>
                <w:color w:val="000000"/>
                <w:sz w:val="18"/>
                <w:szCs w:val="18"/>
              </w:rPr>
            </w:pPr>
            <w:r w:rsidRPr="005952CC">
              <w:rPr>
                <w:rFonts w:cs="Arial"/>
                <w:color w:val="000000"/>
                <w:sz w:val="18"/>
                <w:szCs w:val="18"/>
              </w:rPr>
              <w:t>10,5</w:t>
            </w:r>
          </w:p>
        </w:tc>
      </w:tr>
      <w:tr w:rsidR="001676E4" w:rsidRPr="005952CC" w14:paraId="43DDCAA4"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right w:val="single" w:sz="4" w:space="0" w:color="auto"/>
            </w:tcBorders>
          </w:tcPr>
          <w:p w14:paraId="69EBD47B"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17435298" w14:textId="77777777" w:rsidR="001676E4" w:rsidRPr="005952CC" w:rsidRDefault="001676E4" w:rsidP="003D66E5">
            <w:pPr>
              <w:spacing w:after="120"/>
              <w:rPr>
                <w:rFonts w:cs="Arial"/>
                <w:color w:val="000000"/>
                <w:sz w:val="18"/>
                <w:szCs w:val="18"/>
              </w:rPr>
            </w:pPr>
            <w:r w:rsidRPr="005952CC">
              <w:rPr>
                <w:rFonts w:cs="Arial"/>
                <w:color w:val="000000"/>
                <w:sz w:val="18"/>
                <w:szCs w:val="18"/>
              </w:rPr>
              <w:t>3 dni</w:t>
            </w:r>
          </w:p>
        </w:tc>
        <w:tc>
          <w:tcPr>
            <w:tcW w:w="2180" w:type="dxa"/>
            <w:gridSpan w:val="2"/>
            <w:tcBorders>
              <w:top w:val="nil"/>
              <w:bottom w:val="nil"/>
              <w:right w:val="single" w:sz="12" w:space="0" w:color="auto"/>
            </w:tcBorders>
            <w:noWrap/>
            <w:vAlign w:val="center"/>
          </w:tcPr>
          <w:p w14:paraId="0CC457E1" w14:textId="77777777" w:rsidR="001676E4" w:rsidRPr="005952CC" w:rsidRDefault="001676E4" w:rsidP="003D66E5">
            <w:pPr>
              <w:jc w:val="right"/>
              <w:rPr>
                <w:rFonts w:cs="Arial"/>
                <w:color w:val="000000"/>
                <w:sz w:val="18"/>
                <w:szCs w:val="18"/>
              </w:rPr>
            </w:pPr>
            <w:r w:rsidRPr="005952CC">
              <w:rPr>
                <w:rFonts w:cs="Arial"/>
                <w:color w:val="000000"/>
                <w:sz w:val="18"/>
                <w:szCs w:val="18"/>
              </w:rPr>
              <w:t>9,4</w:t>
            </w:r>
          </w:p>
        </w:tc>
        <w:tc>
          <w:tcPr>
            <w:tcW w:w="2180" w:type="dxa"/>
            <w:gridSpan w:val="2"/>
            <w:tcBorders>
              <w:top w:val="nil"/>
              <w:bottom w:val="nil"/>
              <w:right w:val="single" w:sz="12" w:space="0" w:color="auto"/>
            </w:tcBorders>
            <w:vAlign w:val="center"/>
          </w:tcPr>
          <w:p w14:paraId="636C113A" w14:textId="77777777" w:rsidR="001676E4" w:rsidRPr="005952CC" w:rsidRDefault="001676E4" w:rsidP="003D66E5">
            <w:pPr>
              <w:jc w:val="right"/>
              <w:rPr>
                <w:rFonts w:cs="Arial"/>
                <w:color w:val="000000"/>
                <w:sz w:val="18"/>
                <w:szCs w:val="18"/>
              </w:rPr>
            </w:pPr>
            <w:r w:rsidRPr="005952CC">
              <w:rPr>
                <w:rFonts w:cs="Arial"/>
                <w:color w:val="000000"/>
                <w:sz w:val="18"/>
                <w:szCs w:val="18"/>
              </w:rPr>
              <w:t>9,9</w:t>
            </w:r>
          </w:p>
        </w:tc>
      </w:tr>
      <w:tr w:rsidR="001676E4" w:rsidRPr="005952CC" w14:paraId="61E9AA52"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right w:val="single" w:sz="4" w:space="0" w:color="auto"/>
            </w:tcBorders>
          </w:tcPr>
          <w:p w14:paraId="2EB3D6FC"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444B607B" w14:textId="77777777" w:rsidR="001676E4" w:rsidRPr="005952CC" w:rsidRDefault="001676E4" w:rsidP="003D66E5">
            <w:pPr>
              <w:spacing w:after="120"/>
              <w:rPr>
                <w:rFonts w:cs="Arial"/>
                <w:color w:val="000000"/>
                <w:sz w:val="18"/>
                <w:szCs w:val="18"/>
              </w:rPr>
            </w:pPr>
            <w:r w:rsidRPr="005952CC">
              <w:rPr>
                <w:rFonts w:cs="Arial"/>
                <w:color w:val="000000"/>
                <w:sz w:val="18"/>
                <w:szCs w:val="18"/>
              </w:rPr>
              <w:t>4 dni</w:t>
            </w:r>
          </w:p>
        </w:tc>
        <w:tc>
          <w:tcPr>
            <w:tcW w:w="2180" w:type="dxa"/>
            <w:gridSpan w:val="2"/>
            <w:tcBorders>
              <w:top w:val="nil"/>
              <w:bottom w:val="nil"/>
              <w:right w:val="single" w:sz="12" w:space="0" w:color="auto"/>
            </w:tcBorders>
            <w:noWrap/>
            <w:vAlign w:val="center"/>
          </w:tcPr>
          <w:p w14:paraId="1AC12DD8" w14:textId="77777777" w:rsidR="001676E4" w:rsidRPr="005952CC" w:rsidRDefault="001676E4" w:rsidP="003D66E5">
            <w:pPr>
              <w:jc w:val="right"/>
              <w:rPr>
                <w:rFonts w:cs="Arial"/>
                <w:color w:val="000000"/>
                <w:sz w:val="18"/>
                <w:szCs w:val="18"/>
              </w:rPr>
            </w:pPr>
            <w:r w:rsidRPr="005952CC">
              <w:rPr>
                <w:rFonts w:cs="Arial"/>
                <w:color w:val="000000"/>
                <w:sz w:val="18"/>
                <w:szCs w:val="18"/>
              </w:rPr>
              <w:t>7,8</w:t>
            </w:r>
          </w:p>
        </w:tc>
        <w:tc>
          <w:tcPr>
            <w:tcW w:w="2180" w:type="dxa"/>
            <w:gridSpan w:val="2"/>
            <w:tcBorders>
              <w:top w:val="nil"/>
              <w:bottom w:val="nil"/>
              <w:right w:val="single" w:sz="12" w:space="0" w:color="auto"/>
            </w:tcBorders>
            <w:vAlign w:val="center"/>
          </w:tcPr>
          <w:p w14:paraId="0008852C" w14:textId="77777777" w:rsidR="001676E4" w:rsidRPr="005952CC" w:rsidRDefault="001676E4" w:rsidP="003D66E5">
            <w:pPr>
              <w:jc w:val="right"/>
              <w:rPr>
                <w:rFonts w:cs="Arial"/>
                <w:color w:val="000000"/>
                <w:sz w:val="18"/>
                <w:szCs w:val="18"/>
              </w:rPr>
            </w:pPr>
            <w:r w:rsidRPr="005952CC">
              <w:rPr>
                <w:rFonts w:cs="Arial"/>
                <w:color w:val="000000"/>
                <w:sz w:val="18"/>
                <w:szCs w:val="18"/>
              </w:rPr>
              <w:t>8,1</w:t>
            </w:r>
          </w:p>
        </w:tc>
      </w:tr>
      <w:tr w:rsidR="001676E4" w:rsidRPr="005952CC" w14:paraId="09E3D4D8"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right w:val="single" w:sz="4" w:space="0" w:color="auto"/>
            </w:tcBorders>
          </w:tcPr>
          <w:p w14:paraId="5C37F49D"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69B016EE" w14:textId="77777777" w:rsidR="001676E4" w:rsidRPr="005952CC" w:rsidRDefault="001676E4" w:rsidP="003D66E5">
            <w:pPr>
              <w:spacing w:after="120"/>
              <w:rPr>
                <w:rFonts w:cs="Arial"/>
                <w:color w:val="000000"/>
                <w:sz w:val="18"/>
                <w:szCs w:val="18"/>
              </w:rPr>
            </w:pPr>
            <w:r w:rsidRPr="005952CC">
              <w:rPr>
                <w:rFonts w:cs="Arial"/>
                <w:color w:val="000000"/>
                <w:sz w:val="18"/>
                <w:szCs w:val="18"/>
              </w:rPr>
              <w:t>5 dni</w:t>
            </w:r>
          </w:p>
        </w:tc>
        <w:tc>
          <w:tcPr>
            <w:tcW w:w="2180" w:type="dxa"/>
            <w:gridSpan w:val="2"/>
            <w:tcBorders>
              <w:top w:val="nil"/>
              <w:bottom w:val="nil"/>
              <w:right w:val="single" w:sz="12" w:space="0" w:color="auto"/>
            </w:tcBorders>
            <w:noWrap/>
            <w:vAlign w:val="center"/>
          </w:tcPr>
          <w:p w14:paraId="236C97E2" w14:textId="77777777" w:rsidR="001676E4" w:rsidRPr="005952CC" w:rsidRDefault="001676E4" w:rsidP="003D66E5">
            <w:pPr>
              <w:jc w:val="right"/>
              <w:rPr>
                <w:rFonts w:cs="Arial"/>
                <w:color w:val="000000"/>
                <w:sz w:val="18"/>
                <w:szCs w:val="18"/>
              </w:rPr>
            </w:pPr>
            <w:r w:rsidRPr="005952CC">
              <w:rPr>
                <w:rFonts w:cs="Arial"/>
                <w:color w:val="000000"/>
                <w:sz w:val="18"/>
                <w:szCs w:val="18"/>
              </w:rPr>
              <w:t>8,8</w:t>
            </w:r>
          </w:p>
        </w:tc>
        <w:tc>
          <w:tcPr>
            <w:tcW w:w="2180" w:type="dxa"/>
            <w:gridSpan w:val="2"/>
            <w:tcBorders>
              <w:top w:val="nil"/>
              <w:bottom w:val="nil"/>
              <w:right w:val="single" w:sz="12" w:space="0" w:color="auto"/>
            </w:tcBorders>
            <w:vAlign w:val="center"/>
          </w:tcPr>
          <w:p w14:paraId="180B7067" w14:textId="77777777" w:rsidR="001676E4" w:rsidRPr="005952CC" w:rsidRDefault="001676E4" w:rsidP="003D66E5">
            <w:pPr>
              <w:jc w:val="right"/>
              <w:rPr>
                <w:rFonts w:cs="Arial"/>
                <w:color w:val="000000"/>
                <w:sz w:val="18"/>
                <w:szCs w:val="18"/>
              </w:rPr>
            </w:pPr>
            <w:r w:rsidRPr="005952CC">
              <w:rPr>
                <w:rFonts w:cs="Arial"/>
                <w:color w:val="000000"/>
                <w:sz w:val="18"/>
                <w:szCs w:val="18"/>
              </w:rPr>
              <w:t>7,8</w:t>
            </w:r>
          </w:p>
        </w:tc>
      </w:tr>
      <w:tr w:rsidR="001676E4" w:rsidRPr="005952CC" w14:paraId="2B2F2A94"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right w:val="single" w:sz="4" w:space="0" w:color="auto"/>
            </w:tcBorders>
          </w:tcPr>
          <w:p w14:paraId="04692981"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5169F4D5" w14:textId="77777777" w:rsidR="001676E4" w:rsidRPr="005952CC" w:rsidRDefault="001676E4" w:rsidP="003D66E5">
            <w:pPr>
              <w:spacing w:after="120"/>
              <w:rPr>
                <w:rFonts w:cs="Arial"/>
                <w:color w:val="000000"/>
                <w:sz w:val="18"/>
                <w:szCs w:val="18"/>
              </w:rPr>
            </w:pPr>
            <w:r w:rsidRPr="005952CC">
              <w:rPr>
                <w:rFonts w:cs="Arial"/>
                <w:color w:val="000000"/>
                <w:sz w:val="18"/>
                <w:szCs w:val="18"/>
              </w:rPr>
              <w:t>6 dni</w:t>
            </w:r>
          </w:p>
        </w:tc>
        <w:tc>
          <w:tcPr>
            <w:tcW w:w="2180" w:type="dxa"/>
            <w:gridSpan w:val="2"/>
            <w:tcBorders>
              <w:top w:val="nil"/>
              <w:bottom w:val="nil"/>
              <w:right w:val="single" w:sz="12" w:space="0" w:color="auto"/>
            </w:tcBorders>
            <w:noWrap/>
            <w:vAlign w:val="center"/>
          </w:tcPr>
          <w:p w14:paraId="68E26758" w14:textId="77777777" w:rsidR="001676E4" w:rsidRPr="005952CC" w:rsidRDefault="001676E4" w:rsidP="003D66E5">
            <w:pPr>
              <w:jc w:val="right"/>
              <w:rPr>
                <w:rFonts w:cs="Arial"/>
                <w:color w:val="000000"/>
                <w:sz w:val="18"/>
                <w:szCs w:val="18"/>
              </w:rPr>
            </w:pPr>
            <w:r w:rsidRPr="005952CC">
              <w:rPr>
                <w:rFonts w:cs="Arial"/>
                <w:color w:val="000000"/>
                <w:sz w:val="18"/>
                <w:szCs w:val="18"/>
              </w:rPr>
              <w:t>5,4</w:t>
            </w:r>
          </w:p>
        </w:tc>
        <w:tc>
          <w:tcPr>
            <w:tcW w:w="2180" w:type="dxa"/>
            <w:gridSpan w:val="2"/>
            <w:tcBorders>
              <w:top w:val="nil"/>
              <w:bottom w:val="nil"/>
              <w:right w:val="single" w:sz="12" w:space="0" w:color="auto"/>
            </w:tcBorders>
            <w:vAlign w:val="center"/>
          </w:tcPr>
          <w:p w14:paraId="50A37E3F" w14:textId="77777777" w:rsidR="001676E4" w:rsidRPr="005952CC" w:rsidRDefault="001676E4" w:rsidP="003D66E5">
            <w:pPr>
              <w:jc w:val="right"/>
              <w:rPr>
                <w:rFonts w:cs="Arial"/>
                <w:color w:val="000000"/>
                <w:sz w:val="18"/>
                <w:szCs w:val="18"/>
              </w:rPr>
            </w:pPr>
            <w:r w:rsidRPr="005952CC">
              <w:rPr>
                <w:rFonts w:cs="Arial"/>
                <w:color w:val="000000"/>
                <w:sz w:val="18"/>
                <w:szCs w:val="18"/>
              </w:rPr>
              <w:t>4,4</w:t>
            </w:r>
          </w:p>
        </w:tc>
      </w:tr>
      <w:tr w:rsidR="001676E4" w:rsidRPr="005952CC" w14:paraId="127333ED"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right w:val="single" w:sz="4" w:space="0" w:color="auto"/>
            </w:tcBorders>
          </w:tcPr>
          <w:p w14:paraId="4B8134A0"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single" w:sz="4" w:space="0" w:color="auto"/>
            </w:tcBorders>
          </w:tcPr>
          <w:p w14:paraId="36CCB531" w14:textId="77777777" w:rsidR="001676E4" w:rsidRPr="005952CC" w:rsidRDefault="001676E4" w:rsidP="003D66E5">
            <w:pPr>
              <w:spacing w:after="120"/>
              <w:rPr>
                <w:rFonts w:cs="Arial"/>
                <w:color w:val="000000"/>
                <w:sz w:val="18"/>
                <w:szCs w:val="18"/>
              </w:rPr>
            </w:pPr>
            <w:r w:rsidRPr="005952CC">
              <w:rPr>
                <w:rFonts w:cs="Arial"/>
                <w:color w:val="000000"/>
                <w:sz w:val="18"/>
                <w:szCs w:val="18"/>
              </w:rPr>
              <w:t>7 dni</w:t>
            </w:r>
          </w:p>
        </w:tc>
        <w:tc>
          <w:tcPr>
            <w:tcW w:w="2180" w:type="dxa"/>
            <w:gridSpan w:val="2"/>
            <w:tcBorders>
              <w:top w:val="nil"/>
              <w:bottom w:val="single" w:sz="4" w:space="0" w:color="auto"/>
              <w:right w:val="single" w:sz="12" w:space="0" w:color="auto"/>
            </w:tcBorders>
            <w:noWrap/>
            <w:vAlign w:val="center"/>
          </w:tcPr>
          <w:p w14:paraId="664FF52F" w14:textId="77777777" w:rsidR="001676E4" w:rsidRPr="005952CC" w:rsidRDefault="001676E4" w:rsidP="003D66E5">
            <w:pPr>
              <w:jc w:val="right"/>
              <w:rPr>
                <w:rFonts w:cs="Arial"/>
                <w:color w:val="000000"/>
                <w:sz w:val="18"/>
                <w:szCs w:val="18"/>
              </w:rPr>
            </w:pPr>
            <w:r w:rsidRPr="005952CC">
              <w:rPr>
                <w:rFonts w:cs="Arial"/>
                <w:color w:val="000000"/>
                <w:sz w:val="18"/>
                <w:szCs w:val="18"/>
              </w:rPr>
              <w:t>27,8</w:t>
            </w:r>
          </w:p>
        </w:tc>
        <w:tc>
          <w:tcPr>
            <w:tcW w:w="2180" w:type="dxa"/>
            <w:gridSpan w:val="2"/>
            <w:tcBorders>
              <w:top w:val="nil"/>
              <w:bottom w:val="single" w:sz="4" w:space="0" w:color="auto"/>
              <w:right w:val="single" w:sz="12" w:space="0" w:color="auto"/>
            </w:tcBorders>
            <w:vAlign w:val="center"/>
          </w:tcPr>
          <w:p w14:paraId="247E0ADB" w14:textId="77777777" w:rsidR="001676E4" w:rsidRPr="005952CC" w:rsidRDefault="001676E4" w:rsidP="003D66E5">
            <w:pPr>
              <w:jc w:val="right"/>
              <w:rPr>
                <w:rFonts w:cs="Arial"/>
                <w:color w:val="000000"/>
                <w:sz w:val="18"/>
                <w:szCs w:val="18"/>
              </w:rPr>
            </w:pPr>
            <w:r w:rsidRPr="005952CC">
              <w:rPr>
                <w:rFonts w:cs="Arial"/>
                <w:color w:val="000000"/>
                <w:sz w:val="18"/>
                <w:szCs w:val="18"/>
              </w:rPr>
              <w:t>25,5</w:t>
            </w:r>
          </w:p>
        </w:tc>
      </w:tr>
      <w:tr w:rsidR="001676E4" w:rsidRPr="005952CC" w14:paraId="2E6A2290"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val="restart"/>
            <w:tcBorders>
              <w:left w:val="single" w:sz="12" w:space="0" w:color="auto"/>
              <w:bottom w:val="single" w:sz="12" w:space="0" w:color="auto"/>
            </w:tcBorders>
          </w:tcPr>
          <w:p w14:paraId="689BBFB2" w14:textId="77777777" w:rsidR="001676E4" w:rsidRPr="005952CC" w:rsidRDefault="001676E4" w:rsidP="003D66E5">
            <w:pPr>
              <w:widowControl w:val="0"/>
              <w:autoSpaceDE w:val="0"/>
              <w:autoSpaceDN w:val="0"/>
              <w:adjustRightInd w:val="0"/>
              <w:spacing w:after="120"/>
              <w:rPr>
                <w:rFonts w:cs="Arial"/>
                <w:color w:val="000000"/>
                <w:sz w:val="18"/>
                <w:szCs w:val="18"/>
              </w:rPr>
            </w:pPr>
            <w:r w:rsidRPr="005952CC">
              <w:rPr>
                <w:rFonts w:cs="Arial"/>
                <w:color w:val="000000"/>
                <w:sz w:val="18"/>
                <w:szCs w:val="18"/>
              </w:rPr>
              <w:t>Starsza kohorta (17-18 lat)</w:t>
            </w:r>
          </w:p>
          <w:p w14:paraId="3A15FD23"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left w:val="single" w:sz="12" w:space="0" w:color="auto"/>
              <w:bottom w:val="nil"/>
            </w:tcBorders>
          </w:tcPr>
          <w:p w14:paraId="789CE9A6" w14:textId="77777777" w:rsidR="001676E4" w:rsidRPr="005952CC" w:rsidRDefault="001676E4" w:rsidP="003D66E5">
            <w:pPr>
              <w:spacing w:after="120"/>
              <w:rPr>
                <w:rFonts w:cs="Arial"/>
                <w:color w:val="000000"/>
                <w:sz w:val="18"/>
                <w:szCs w:val="18"/>
              </w:rPr>
            </w:pPr>
            <w:r w:rsidRPr="005952CC">
              <w:rPr>
                <w:rFonts w:cs="Arial"/>
                <w:color w:val="000000"/>
                <w:sz w:val="18"/>
                <w:szCs w:val="18"/>
              </w:rPr>
              <w:t>Nie</w:t>
            </w:r>
          </w:p>
        </w:tc>
        <w:tc>
          <w:tcPr>
            <w:tcW w:w="2180" w:type="dxa"/>
            <w:gridSpan w:val="2"/>
            <w:tcBorders>
              <w:bottom w:val="nil"/>
              <w:right w:val="single" w:sz="12" w:space="0" w:color="auto"/>
            </w:tcBorders>
            <w:noWrap/>
            <w:vAlign w:val="center"/>
          </w:tcPr>
          <w:p w14:paraId="36BC7F83" w14:textId="77777777" w:rsidR="001676E4" w:rsidRPr="005952CC" w:rsidRDefault="001676E4" w:rsidP="003D66E5">
            <w:pPr>
              <w:jc w:val="right"/>
              <w:rPr>
                <w:rFonts w:cs="Arial"/>
                <w:color w:val="000000"/>
                <w:sz w:val="18"/>
                <w:szCs w:val="18"/>
              </w:rPr>
            </w:pPr>
            <w:r w:rsidRPr="005952CC">
              <w:rPr>
                <w:rFonts w:cs="Arial"/>
                <w:color w:val="000000"/>
                <w:sz w:val="18"/>
                <w:szCs w:val="18"/>
              </w:rPr>
              <w:t>23,1</w:t>
            </w:r>
          </w:p>
        </w:tc>
        <w:tc>
          <w:tcPr>
            <w:tcW w:w="2180" w:type="dxa"/>
            <w:gridSpan w:val="2"/>
            <w:tcBorders>
              <w:bottom w:val="nil"/>
              <w:right w:val="single" w:sz="12" w:space="0" w:color="auto"/>
            </w:tcBorders>
            <w:vAlign w:val="center"/>
          </w:tcPr>
          <w:p w14:paraId="7874A851" w14:textId="77777777" w:rsidR="001676E4" w:rsidRPr="005952CC" w:rsidRDefault="001676E4" w:rsidP="003D66E5">
            <w:pPr>
              <w:jc w:val="right"/>
              <w:rPr>
                <w:rFonts w:cs="Arial"/>
                <w:color w:val="000000"/>
                <w:sz w:val="18"/>
                <w:szCs w:val="18"/>
              </w:rPr>
            </w:pPr>
            <w:r w:rsidRPr="005952CC">
              <w:rPr>
                <w:rFonts w:cs="Arial"/>
                <w:color w:val="000000"/>
                <w:sz w:val="18"/>
                <w:szCs w:val="18"/>
              </w:rPr>
              <w:t>28,6</w:t>
            </w:r>
          </w:p>
        </w:tc>
      </w:tr>
      <w:tr w:rsidR="001676E4" w:rsidRPr="005952CC" w14:paraId="2B0AA41E"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38BCC0F6"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3C435E41" w14:textId="77777777" w:rsidR="001676E4" w:rsidRPr="005952CC" w:rsidRDefault="001676E4" w:rsidP="003D66E5">
            <w:pPr>
              <w:spacing w:after="120"/>
              <w:rPr>
                <w:rFonts w:cs="Arial"/>
                <w:color w:val="000000"/>
                <w:sz w:val="18"/>
                <w:szCs w:val="18"/>
              </w:rPr>
            </w:pPr>
            <w:r w:rsidRPr="005952CC">
              <w:rPr>
                <w:rFonts w:cs="Arial"/>
                <w:color w:val="000000"/>
                <w:sz w:val="18"/>
                <w:szCs w:val="18"/>
              </w:rPr>
              <w:t>1 dzień</w:t>
            </w:r>
          </w:p>
        </w:tc>
        <w:tc>
          <w:tcPr>
            <w:tcW w:w="2180" w:type="dxa"/>
            <w:gridSpan w:val="2"/>
            <w:tcBorders>
              <w:top w:val="nil"/>
              <w:bottom w:val="nil"/>
              <w:right w:val="single" w:sz="12" w:space="0" w:color="auto"/>
            </w:tcBorders>
            <w:noWrap/>
            <w:vAlign w:val="center"/>
          </w:tcPr>
          <w:p w14:paraId="7F83C8FD" w14:textId="77777777" w:rsidR="001676E4" w:rsidRPr="005952CC" w:rsidRDefault="001676E4" w:rsidP="003D66E5">
            <w:pPr>
              <w:jc w:val="right"/>
              <w:rPr>
                <w:rFonts w:cs="Arial"/>
                <w:color w:val="000000"/>
                <w:sz w:val="18"/>
                <w:szCs w:val="18"/>
              </w:rPr>
            </w:pPr>
            <w:r w:rsidRPr="005952CC">
              <w:rPr>
                <w:rFonts w:cs="Arial"/>
                <w:color w:val="000000"/>
                <w:sz w:val="18"/>
                <w:szCs w:val="18"/>
              </w:rPr>
              <w:t>12,5</w:t>
            </w:r>
          </w:p>
        </w:tc>
        <w:tc>
          <w:tcPr>
            <w:tcW w:w="2180" w:type="dxa"/>
            <w:gridSpan w:val="2"/>
            <w:tcBorders>
              <w:top w:val="nil"/>
              <w:bottom w:val="nil"/>
              <w:right w:val="single" w:sz="12" w:space="0" w:color="auto"/>
            </w:tcBorders>
            <w:vAlign w:val="center"/>
          </w:tcPr>
          <w:p w14:paraId="7DC288E5" w14:textId="77777777" w:rsidR="001676E4" w:rsidRPr="005952CC" w:rsidRDefault="001676E4" w:rsidP="003D66E5">
            <w:pPr>
              <w:jc w:val="right"/>
              <w:rPr>
                <w:rFonts w:cs="Arial"/>
                <w:color w:val="000000"/>
                <w:sz w:val="18"/>
                <w:szCs w:val="18"/>
              </w:rPr>
            </w:pPr>
            <w:r w:rsidRPr="005952CC">
              <w:rPr>
                <w:rFonts w:cs="Arial"/>
                <w:color w:val="000000"/>
                <w:sz w:val="18"/>
                <w:szCs w:val="18"/>
              </w:rPr>
              <w:t>12,2</w:t>
            </w:r>
          </w:p>
        </w:tc>
      </w:tr>
      <w:tr w:rsidR="001676E4" w:rsidRPr="005952CC" w14:paraId="73446CE9"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5246CE2A"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0160151A" w14:textId="77777777" w:rsidR="001676E4" w:rsidRPr="005952CC" w:rsidRDefault="001676E4" w:rsidP="003D66E5">
            <w:pPr>
              <w:spacing w:after="120"/>
              <w:rPr>
                <w:rFonts w:cs="Arial"/>
                <w:color w:val="000000"/>
                <w:sz w:val="18"/>
                <w:szCs w:val="18"/>
              </w:rPr>
            </w:pPr>
            <w:r w:rsidRPr="005952CC">
              <w:rPr>
                <w:rFonts w:cs="Arial"/>
                <w:color w:val="000000"/>
                <w:sz w:val="18"/>
                <w:szCs w:val="18"/>
              </w:rPr>
              <w:t>2 dni</w:t>
            </w:r>
          </w:p>
        </w:tc>
        <w:tc>
          <w:tcPr>
            <w:tcW w:w="2180" w:type="dxa"/>
            <w:gridSpan w:val="2"/>
            <w:tcBorders>
              <w:top w:val="nil"/>
              <w:bottom w:val="nil"/>
              <w:right w:val="single" w:sz="12" w:space="0" w:color="auto"/>
            </w:tcBorders>
            <w:noWrap/>
            <w:vAlign w:val="center"/>
          </w:tcPr>
          <w:p w14:paraId="5E1632E0" w14:textId="77777777" w:rsidR="001676E4" w:rsidRPr="005952CC" w:rsidRDefault="001676E4" w:rsidP="003D66E5">
            <w:pPr>
              <w:jc w:val="right"/>
              <w:rPr>
                <w:rFonts w:cs="Arial"/>
                <w:color w:val="000000"/>
                <w:sz w:val="18"/>
                <w:szCs w:val="18"/>
              </w:rPr>
            </w:pPr>
            <w:r w:rsidRPr="005952CC">
              <w:rPr>
                <w:rFonts w:cs="Arial"/>
                <w:color w:val="000000"/>
                <w:sz w:val="18"/>
                <w:szCs w:val="18"/>
              </w:rPr>
              <w:t>9,4</w:t>
            </w:r>
          </w:p>
        </w:tc>
        <w:tc>
          <w:tcPr>
            <w:tcW w:w="2180" w:type="dxa"/>
            <w:gridSpan w:val="2"/>
            <w:tcBorders>
              <w:top w:val="nil"/>
              <w:bottom w:val="nil"/>
              <w:right w:val="single" w:sz="12" w:space="0" w:color="auto"/>
            </w:tcBorders>
            <w:vAlign w:val="center"/>
          </w:tcPr>
          <w:p w14:paraId="14AAB091" w14:textId="77777777" w:rsidR="001676E4" w:rsidRPr="005952CC" w:rsidRDefault="001676E4" w:rsidP="003D66E5">
            <w:pPr>
              <w:jc w:val="right"/>
              <w:rPr>
                <w:rFonts w:cs="Arial"/>
                <w:color w:val="000000"/>
                <w:sz w:val="18"/>
                <w:szCs w:val="18"/>
              </w:rPr>
            </w:pPr>
            <w:r w:rsidRPr="005952CC">
              <w:rPr>
                <w:rFonts w:cs="Arial"/>
                <w:color w:val="000000"/>
                <w:sz w:val="18"/>
                <w:szCs w:val="18"/>
              </w:rPr>
              <w:t>11,5</w:t>
            </w:r>
          </w:p>
        </w:tc>
      </w:tr>
      <w:tr w:rsidR="001676E4" w:rsidRPr="005952CC" w14:paraId="684B8FF4"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2313165D"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2E4DC108" w14:textId="77777777" w:rsidR="001676E4" w:rsidRPr="005952CC" w:rsidRDefault="001676E4" w:rsidP="003D66E5">
            <w:pPr>
              <w:spacing w:after="120"/>
              <w:rPr>
                <w:rFonts w:cs="Arial"/>
                <w:color w:val="000000"/>
                <w:sz w:val="18"/>
                <w:szCs w:val="18"/>
              </w:rPr>
            </w:pPr>
            <w:r w:rsidRPr="005952CC">
              <w:rPr>
                <w:rFonts w:cs="Arial"/>
                <w:color w:val="000000"/>
                <w:sz w:val="18"/>
                <w:szCs w:val="18"/>
              </w:rPr>
              <w:t>3 dni</w:t>
            </w:r>
          </w:p>
        </w:tc>
        <w:tc>
          <w:tcPr>
            <w:tcW w:w="2180" w:type="dxa"/>
            <w:gridSpan w:val="2"/>
            <w:tcBorders>
              <w:top w:val="nil"/>
              <w:bottom w:val="nil"/>
              <w:right w:val="single" w:sz="12" w:space="0" w:color="auto"/>
            </w:tcBorders>
            <w:noWrap/>
            <w:vAlign w:val="center"/>
          </w:tcPr>
          <w:p w14:paraId="77F3222D" w14:textId="77777777" w:rsidR="001676E4" w:rsidRPr="005952CC" w:rsidRDefault="001676E4" w:rsidP="003D66E5">
            <w:pPr>
              <w:jc w:val="right"/>
              <w:rPr>
                <w:rFonts w:cs="Arial"/>
                <w:color w:val="000000"/>
                <w:sz w:val="18"/>
                <w:szCs w:val="18"/>
              </w:rPr>
            </w:pPr>
            <w:r w:rsidRPr="005952CC">
              <w:rPr>
                <w:rFonts w:cs="Arial"/>
                <w:color w:val="000000"/>
                <w:sz w:val="18"/>
                <w:szCs w:val="18"/>
              </w:rPr>
              <w:t>9,3</w:t>
            </w:r>
          </w:p>
        </w:tc>
        <w:tc>
          <w:tcPr>
            <w:tcW w:w="2180" w:type="dxa"/>
            <w:gridSpan w:val="2"/>
            <w:tcBorders>
              <w:top w:val="nil"/>
              <w:bottom w:val="nil"/>
              <w:right w:val="single" w:sz="12" w:space="0" w:color="auto"/>
            </w:tcBorders>
            <w:vAlign w:val="center"/>
          </w:tcPr>
          <w:p w14:paraId="4573031F" w14:textId="77777777" w:rsidR="001676E4" w:rsidRPr="005952CC" w:rsidRDefault="001676E4" w:rsidP="003D66E5">
            <w:pPr>
              <w:jc w:val="right"/>
              <w:rPr>
                <w:rFonts w:cs="Arial"/>
                <w:color w:val="000000"/>
                <w:sz w:val="18"/>
                <w:szCs w:val="18"/>
              </w:rPr>
            </w:pPr>
            <w:r w:rsidRPr="005952CC">
              <w:rPr>
                <w:rFonts w:cs="Arial"/>
                <w:color w:val="000000"/>
                <w:sz w:val="18"/>
                <w:szCs w:val="18"/>
              </w:rPr>
              <w:t>9,3</w:t>
            </w:r>
          </w:p>
        </w:tc>
      </w:tr>
      <w:tr w:rsidR="001676E4" w:rsidRPr="005952CC" w14:paraId="5C7B94BF"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35DE7FB9"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33D6AE41" w14:textId="77777777" w:rsidR="001676E4" w:rsidRPr="005952CC" w:rsidRDefault="001676E4" w:rsidP="003D66E5">
            <w:pPr>
              <w:spacing w:after="120"/>
              <w:rPr>
                <w:rFonts w:cs="Arial"/>
                <w:color w:val="000000"/>
                <w:sz w:val="18"/>
                <w:szCs w:val="18"/>
              </w:rPr>
            </w:pPr>
            <w:r w:rsidRPr="005952CC">
              <w:rPr>
                <w:rFonts w:cs="Arial"/>
                <w:color w:val="000000"/>
                <w:sz w:val="18"/>
                <w:szCs w:val="18"/>
              </w:rPr>
              <w:t>4 dni</w:t>
            </w:r>
          </w:p>
        </w:tc>
        <w:tc>
          <w:tcPr>
            <w:tcW w:w="2180" w:type="dxa"/>
            <w:gridSpan w:val="2"/>
            <w:tcBorders>
              <w:top w:val="nil"/>
              <w:bottom w:val="nil"/>
              <w:right w:val="single" w:sz="12" w:space="0" w:color="auto"/>
            </w:tcBorders>
            <w:noWrap/>
            <w:vAlign w:val="center"/>
          </w:tcPr>
          <w:p w14:paraId="4DE7C97B" w14:textId="77777777" w:rsidR="001676E4" w:rsidRPr="005952CC" w:rsidRDefault="001676E4" w:rsidP="003D66E5">
            <w:pPr>
              <w:jc w:val="right"/>
              <w:rPr>
                <w:rFonts w:cs="Arial"/>
                <w:color w:val="000000"/>
                <w:sz w:val="18"/>
                <w:szCs w:val="18"/>
              </w:rPr>
            </w:pPr>
            <w:r w:rsidRPr="005952CC">
              <w:rPr>
                <w:rFonts w:cs="Arial"/>
                <w:color w:val="000000"/>
                <w:sz w:val="18"/>
                <w:szCs w:val="18"/>
              </w:rPr>
              <w:t>7,7</w:t>
            </w:r>
          </w:p>
        </w:tc>
        <w:tc>
          <w:tcPr>
            <w:tcW w:w="2180" w:type="dxa"/>
            <w:gridSpan w:val="2"/>
            <w:tcBorders>
              <w:top w:val="nil"/>
              <w:bottom w:val="nil"/>
              <w:right w:val="single" w:sz="12" w:space="0" w:color="auto"/>
            </w:tcBorders>
            <w:vAlign w:val="center"/>
          </w:tcPr>
          <w:p w14:paraId="502953AB" w14:textId="77777777" w:rsidR="001676E4" w:rsidRPr="005952CC" w:rsidRDefault="001676E4" w:rsidP="003D66E5">
            <w:pPr>
              <w:jc w:val="right"/>
              <w:rPr>
                <w:rFonts w:cs="Arial"/>
                <w:color w:val="000000"/>
                <w:sz w:val="18"/>
                <w:szCs w:val="18"/>
              </w:rPr>
            </w:pPr>
            <w:r w:rsidRPr="005952CC">
              <w:rPr>
                <w:rFonts w:cs="Arial"/>
                <w:color w:val="000000"/>
                <w:sz w:val="18"/>
                <w:szCs w:val="18"/>
              </w:rPr>
              <w:t>7,6</w:t>
            </w:r>
          </w:p>
        </w:tc>
      </w:tr>
      <w:tr w:rsidR="001676E4" w:rsidRPr="005952CC" w14:paraId="0A1C0700"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0C06441F"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67701FD8" w14:textId="77777777" w:rsidR="001676E4" w:rsidRPr="005952CC" w:rsidRDefault="001676E4" w:rsidP="003D66E5">
            <w:pPr>
              <w:spacing w:after="120"/>
              <w:rPr>
                <w:rFonts w:cs="Arial"/>
                <w:color w:val="000000"/>
                <w:sz w:val="18"/>
                <w:szCs w:val="18"/>
              </w:rPr>
            </w:pPr>
            <w:r w:rsidRPr="005952CC">
              <w:rPr>
                <w:rFonts w:cs="Arial"/>
                <w:color w:val="000000"/>
                <w:sz w:val="18"/>
                <w:szCs w:val="18"/>
              </w:rPr>
              <w:t>5 dni</w:t>
            </w:r>
          </w:p>
        </w:tc>
        <w:tc>
          <w:tcPr>
            <w:tcW w:w="2180" w:type="dxa"/>
            <w:gridSpan w:val="2"/>
            <w:tcBorders>
              <w:top w:val="nil"/>
              <w:bottom w:val="nil"/>
              <w:right w:val="single" w:sz="12" w:space="0" w:color="auto"/>
            </w:tcBorders>
            <w:noWrap/>
            <w:vAlign w:val="center"/>
          </w:tcPr>
          <w:p w14:paraId="53827F5A" w14:textId="77777777" w:rsidR="001676E4" w:rsidRPr="005952CC" w:rsidRDefault="001676E4" w:rsidP="003D66E5">
            <w:pPr>
              <w:jc w:val="right"/>
              <w:rPr>
                <w:rFonts w:cs="Arial"/>
                <w:color w:val="000000"/>
                <w:sz w:val="18"/>
                <w:szCs w:val="18"/>
              </w:rPr>
            </w:pPr>
            <w:r w:rsidRPr="005952CC">
              <w:rPr>
                <w:rFonts w:cs="Arial"/>
                <w:color w:val="000000"/>
                <w:sz w:val="18"/>
                <w:szCs w:val="18"/>
              </w:rPr>
              <w:t>8,4</w:t>
            </w:r>
          </w:p>
        </w:tc>
        <w:tc>
          <w:tcPr>
            <w:tcW w:w="2180" w:type="dxa"/>
            <w:gridSpan w:val="2"/>
            <w:tcBorders>
              <w:top w:val="nil"/>
              <w:bottom w:val="nil"/>
              <w:right w:val="single" w:sz="12" w:space="0" w:color="auto"/>
            </w:tcBorders>
            <w:vAlign w:val="center"/>
          </w:tcPr>
          <w:p w14:paraId="505C9063" w14:textId="77777777" w:rsidR="001676E4" w:rsidRPr="005952CC" w:rsidRDefault="001676E4" w:rsidP="003D66E5">
            <w:pPr>
              <w:jc w:val="right"/>
              <w:rPr>
                <w:rFonts w:cs="Arial"/>
                <w:color w:val="000000"/>
                <w:sz w:val="18"/>
                <w:szCs w:val="18"/>
              </w:rPr>
            </w:pPr>
            <w:r w:rsidRPr="005952CC">
              <w:rPr>
                <w:rFonts w:cs="Arial"/>
                <w:color w:val="000000"/>
                <w:sz w:val="18"/>
                <w:szCs w:val="18"/>
              </w:rPr>
              <w:t>7,3</w:t>
            </w:r>
          </w:p>
        </w:tc>
      </w:tr>
      <w:tr w:rsidR="001676E4" w:rsidRPr="005952CC" w14:paraId="09C68FA1"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70454717"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nil"/>
            </w:tcBorders>
          </w:tcPr>
          <w:p w14:paraId="2CC5311F" w14:textId="77777777" w:rsidR="001676E4" w:rsidRPr="005952CC" w:rsidRDefault="001676E4" w:rsidP="003D66E5">
            <w:pPr>
              <w:spacing w:after="120"/>
              <w:rPr>
                <w:rFonts w:cs="Arial"/>
                <w:color w:val="000000"/>
                <w:sz w:val="18"/>
                <w:szCs w:val="18"/>
              </w:rPr>
            </w:pPr>
            <w:r w:rsidRPr="005952CC">
              <w:rPr>
                <w:rFonts w:cs="Arial"/>
                <w:color w:val="000000"/>
                <w:sz w:val="18"/>
                <w:szCs w:val="18"/>
              </w:rPr>
              <w:t>6 dni</w:t>
            </w:r>
          </w:p>
        </w:tc>
        <w:tc>
          <w:tcPr>
            <w:tcW w:w="2180" w:type="dxa"/>
            <w:gridSpan w:val="2"/>
            <w:tcBorders>
              <w:top w:val="nil"/>
              <w:bottom w:val="nil"/>
              <w:right w:val="single" w:sz="12" w:space="0" w:color="auto"/>
            </w:tcBorders>
            <w:noWrap/>
            <w:vAlign w:val="center"/>
          </w:tcPr>
          <w:p w14:paraId="23FA3E2B" w14:textId="77777777" w:rsidR="001676E4" w:rsidRPr="005952CC" w:rsidRDefault="001676E4" w:rsidP="003D66E5">
            <w:pPr>
              <w:jc w:val="right"/>
              <w:rPr>
                <w:rFonts w:cs="Arial"/>
                <w:color w:val="000000"/>
                <w:sz w:val="18"/>
                <w:szCs w:val="18"/>
              </w:rPr>
            </w:pPr>
            <w:r w:rsidRPr="005952CC">
              <w:rPr>
                <w:rFonts w:cs="Arial"/>
                <w:color w:val="000000"/>
                <w:sz w:val="18"/>
                <w:szCs w:val="18"/>
              </w:rPr>
              <w:t>4,2</w:t>
            </w:r>
          </w:p>
        </w:tc>
        <w:tc>
          <w:tcPr>
            <w:tcW w:w="2180" w:type="dxa"/>
            <w:gridSpan w:val="2"/>
            <w:tcBorders>
              <w:top w:val="nil"/>
              <w:bottom w:val="nil"/>
              <w:right w:val="single" w:sz="12" w:space="0" w:color="auto"/>
            </w:tcBorders>
            <w:vAlign w:val="center"/>
          </w:tcPr>
          <w:p w14:paraId="522FAB2C" w14:textId="77777777" w:rsidR="001676E4" w:rsidRPr="005952CC" w:rsidRDefault="001676E4" w:rsidP="003D66E5">
            <w:pPr>
              <w:jc w:val="right"/>
              <w:rPr>
                <w:rFonts w:cs="Arial"/>
                <w:color w:val="000000"/>
                <w:sz w:val="18"/>
                <w:szCs w:val="18"/>
              </w:rPr>
            </w:pPr>
            <w:r w:rsidRPr="005952CC">
              <w:rPr>
                <w:rFonts w:cs="Arial"/>
                <w:color w:val="000000"/>
                <w:sz w:val="18"/>
                <w:szCs w:val="18"/>
              </w:rPr>
              <w:t>3,9</w:t>
            </w:r>
          </w:p>
        </w:tc>
      </w:tr>
      <w:tr w:rsidR="001676E4" w:rsidRPr="005952CC" w14:paraId="3890CDD8" w14:textId="77777777" w:rsidTr="003D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 w:type="dxa"/>
          <w:trHeight w:val="260"/>
        </w:trPr>
        <w:tc>
          <w:tcPr>
            <w:tcW w:w="2093" w:type="dxa"/>
            <w:vMerge/>
            <w:tcBorders>
              <w:left w:val="single" w:sz="12" w:space="0" w:color="auto"/>
              <w:bottom w:val="single" w:sz="12" w:space="0" w:color="auto"/>
            </w:tcBorders>
          </w:tcPr>
          <w:p w14:paraId="2180C265" w14:textId="77777777" w:rsidR="001676E4" w:rsidRPr="005952CC" w:rsidRDefault="001676E4" w:rsidP="003D66E5">
            <w:pPr>
              <w:widowControl w:val="0"/>
              <w:tabs>
                <w:tab w:val="center" w:pos="3456"/>
              </w:tabs>
              <w:autoSpaceDE w:val="0"/>
              <w:autoSpaceDN w:val="0"/>
              <w:adjustRightInd w:val="0"/>
              <w:spacing w:after="120"/>
              <w:jc w:val="both"/>
              <w:rPr>
                <w:rFonts w:cs="Arial"/>
                <w:sz w:val="18"/>
                <w:szCs w:val="18"/>
              </w:rPr>
            </w:pPr>
          </w:p>
        </w:tc>
        <w:tc>
          <w:tcPr>
            <w:tcW w:w="2180" w:type="dxa"/>
            <w:tcBorders>
              <w:top w:val="nil"/>
              <w:left w:val="single" w:sz="12" w:space="0" w:color="auto"/>
              <w:bottom w:val="single" w:sz="12" w:space="0" w:color="auto"/>
            </w:tcBorders>
          </w:tcPr>
          <w:p w14:paraId="63AE6B4A" w14:textId="77777777" w:rsidR="001676E4" w:rsidRPr="005952CC" w:rsidRDefault="001676E4" w:rsidP="003D66E5">
            <w:pPr>
              <w:spacing w:after="120"/>
              <w:rPr>
                <w:rFonts w:cs="Arial"/>
                <w:color w:val="000000"/>
                <w:sz w:val="18"/>
                <w:szCs w:val="18"/>
              </w:rPr>
            </w:pPr>
            <w:r w:rsidRPr="005952CC">
              <w:rPr>
                <w:rFonts w:cs="Arial"/>
                <w:color w:val="000000"/>
                <w:sz w:val="18"/>
                <w:szCs w:val="18"/>
              </w:rPr>
              <w:t>7 dni</w:t>
            </w:r>
          </w:p>
        </w:tc>
        <w:tc>
          <w:tcPr>
            <w:tcW w:w="2180" w:type="dxa"/>
            <w:gridSpan w:val="2"/>
            <w:tcBorders>
              <w:top w:val="nil"/>
              <w:bottom w:val="single" w:sz="12" w:space="0" w:color="auto"/>
              <w:right w:val="single" w:sz="12" w:space="0" w:color="auto"/>
            </w:tcBorders>
            <w:noWrap/>
            <w:vAlign w:val="center"/>
          </w:tcPr>
          <w:p w14:paraId="3556E47A" w14:textId="77777777" w:rsidR="001676E4" w:rsidRPr="005952CC" w:rsidRDefault="001676E4" w:rsidP="003D66E5">
            <w:pPr>
              <w:jc w:val="right"/>
              <w:rPr>
                <w:rFonts w:cs="Arial"/>
                <w:color w:val="000000"/>
                <w:sz w:val="18"/>
                <w:szCs w:val="18"/>
              </w:rPr>
            </w:pPr>
            <w:r w:rsidRPr="005952CC">
              <w:rPr>
                <w:rFonts w:cs="Arial"/>
                <w:color w:val="000000"/>
                <w:sz w:val="18"/>
                <w:szCs w:val="18"/>
              </w:rPr>
              <w:t>25,4</w:t>
            </w:r>
          </w:p>
        </w:tc>
        <w:tc>
          <w:tcPr>
            <w:tcW w:w="2180" w:type="dxa"/>
            <w:gridSpan w:val="2"/>
            <w:tcBorders>
              <w:top w:val="nil"/>
              <w:bottom w:val="single" w:sz="12" w:space="0" w:color="auto"/>
              <w:right w:val="single" w:sz="12" w:space="0" w:color="auto"/>
            </w:tcBorders>
            <w:vAlign w:val="center"/>
          </w:tcPr>
          <w:p w14:paraId="6187FA0E" w14:textId="77777777" w:rsidR="001676E4" w:rsidRPr="005952CC" w:rsidRDefault="001676E4" w:rsidP="003D66E5">
            <w:pPr>
              <w:jc w:val="right"/>
              <w:rPr>
                <w:rFonts w:cs="Arial"/>
                <w:color w:val="000000"/>
                <w:sz w:val="18"/>
                <w:szCs w:val="18"/>
              </w:rPr>
            </w:pPr>
            <w:r w:rsidRPr="005952CC">
              <w:rPr>
                <w:rFonts w:cs="Arial"/>
                <w:color w:val="000000"/>
                <w:sz w:val="18"/>
                <w:szCs w:val="18"/>
              </w:rPr>
              <w:t>19,6</w:t>
            </w:r>
          </w:p>
        </w:tc>
      </w:tr>
    </w:tbl>
    <w:p w14:paraId="4AB41087"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26359A62" w14:textId="1F0EFEE2" w:rsidR="001676E4" w:rsidRPr="00317DE2" w:rsidRDefault="001676E4" w:rsidP="001676E4">
      <w:pPr>
        <w:widowControl w:val="0"/>
        <w:tabs>
          <w:tab w:val="center" w:pos="3456"/>
        </w:tabs>
        <w:autoSpaceDE w:val="0"/>
        <w:autoSpaceDN w:val="0"/>
        <w:adjustRightInd w:val="0"/>
        <w:spacing w:before="240" w:line="360" w:lineRule="auto"/>
        <w:ind w:firstLine="567"/>
        <w:jc w:val="both"/>
        <w:rPr>
          <w:rFonts w:cs="Arial"/>
          <w:color w:val="000000"/>
          <w:sz w:val="22"/>
          <w:szCs w:val="22"/>
        </w:rPr>
      </w:pPr>
      <w:r w:rsidRPr="00317DE2">
        <w:rPr>
          <w:rFonts w:cs="Arial"/>
          <w:color w:val="000000"/>
          <w:sz w:val="22"/>
          <w:szCs w:val="22"/>
        </w:rPr>
        <w:t>Najwięcej uczniów z młodszej kohorty zgłasza zaniepokojenie rodziców ilością czasu spędzanego na graniu. Na drugim miejscu uplasowało się własne przekonanie o zbyt dużej ilości czasu poświęcanego na gry, a na trzecim zły humor, kiedy nie można grać. W starszej kohorcie na pierwszym miejsc</w:t>
      </w:r>
      <w:r w:rsidR="0020619E">
        <w:rPr>
          <w:rFonts w:cs="Arial"/>
          <w:color w:val="000000"/>
          <w:sz w:val="22"/>
          <w:szCs w:val="22"/>
        </w:rPr>
        <w:t>u</w:t>
      </w:r>
      <w:r w:rsidRPr="00317DE2">
        <w:rPr>
          <w:rFonts w:cs="Arial"/>
          <w:color w:val="000000"/>
          <w:sz w:val="22"/>
          <w:szCs w:val="22"/>
        </w:rPr>
        <w:t xml:space="preserve"> znalazło się przekonanie o zbyt dużej ilości </w:t>
      </w:r>
      <w:r w:rsidR="0020619E">
        <w:rPr>
          <w:rFonts w:cs="Arial"/>
          <w:color w:val="000000"/>
          <w:sz w:val="22"/>
          <w:szCs w:val="22"/>
        </w:rPr>
        <w:t xml:space="preserve">czasu </w:t>
      </w:r>
      <w:r w:rsidRPr="00317DE2">
        <w:rPr>
          <w:rFonts w:cs="Arial"/>
          <w:color w:val="000000"/>
          <w:sz w:val="22"/>
          <w:szCs w:val="22"/>
        </w:rPr>
        <w:t>spędzane</w:t>
      </w:r>
      <w:r w:rsidR="0020619E">
        <w:rPr>
          <w:rFonts w:cs="Arial"/>
          <w:color w:val="000000"/>
          <w:sz w:val="22"/>
          <w:szCs w:val="22"/>
        </w:rPr>
        <w:t>go</w:t>
      </w:r>
      <w:r w:rsidRPr="00317DE2">
        <w:rPr>
          <w:rFonts w:cs="Arial"/>
          <w:color w:val="000000"/>
          <w:sz w:val="22"/>
          <w:szCs w:val="22"/>
        </w:rPr>
        <w:t xml:space="preserve"> na grze, na drugim przekonanie rodziców, że spędza się dużo czasu na graniu, a na trzecim zły humor.</w:t>
      </w:r>
    </w:p>
    <w:p w14:paraId="71705CF1" w14:textId="71812038" w:rsidR="001676E4" w:rsidRPr="00A43860" w:rsidRDefault="001676E4" w:rsidP="001676E4">
      <w:pPr>
        <w:pStyle w:val="Legenda"/>
        <w:keepNext/>
        <w:rPr>
          <w:sz w:val="20"/>
          <w:szCs w:val="16"/>
        </w:rPr>
      </w:pPr>
      <w:bookmarkStart w:id="116" w:name="_Toc214279720"/>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35</w:t>
      </w:r>
      <w:r w:rsidRPr="00A43860">
        <w:rPr>
          <w:sz w:val="20"/>
          <w:szCs w:val="16"/>
        </w:rPr>
        <w:fldChar w:fldCharType="end"/>
      </w:r>
      <w:r w:rsidRPr="00A43860">
        <w:rPr>
          <w:sz w:val="20"/>
          <w:szCs w:val="16"/>
        </w:rPr>
        <w:t>. Symptomy nadmiernego korzystania z gier na urządzeniach elektronicznych, takich komputer, smartfon, konsola (województwo lubelskie).</w:t>
      </w:r>
      <w:bookmarkEnd w:id="116"/>
    </w:p>
    <w:tbl>
      <w:tblPr>
        <w:tblW w:w="9106" w:type="dxa"/>
        <w:tblInd w:w="93" w:type="dxa"/>
        <w:tblLayout w:type="fixed"/>
        <w:tblCellMar>
          <w:left w:w="93" w:type="dxa"/>
          <w:right w:w="93" w:type="dxa"/>
        </w:tblCellMar>
        <w:tblLook w:val="0000" w:firstRow="0" w:lastRow="0" w:firstColumn="0" w:lastColumn="0" w:noHBand="0" w:noVBand="0"/>
      </w:tblPr>
      <w:tblGrid>
        <w:gridCol w:w="1418"/>
        <w:gridCol w:w="2869"/>
        <w:gridCol w:w="992"/>
        <w:gridCol w:w="850"/>
        <w:gridCol w:w="1134"/>
        <w:gridCol w:w="851"/>
        <w:gridCol w:w="992"/>
      </w:tblGrid>
      <w:tr w:rsidR="001676E4" w:rsidRPr="0092722E" w14:paraId="55A62113" w14:textId="77777777" w:rsidTr="0020619E">
        <w:trPr>
          <w:trHeight w:val="340"/>
        </w:trPr>
        <w:tc>
          <w:tcPr>
            <w:tcW w:w="1418" w:type="dxa"/>
            <w:tcBorders>
              <w:top w:val="single" w:sz="12" w:space="0" w:color="000000"/>
              <w:left w:val="single" w:sz="12" w:space="0" w:color="000000"/>
              <w:bottom w:val="single" w:sz="12" w:space="0" w:color="000000"/>
              <w:right w:val="single" w:sz="4" w:space="0" w:color="000000"/>
            </w:tcBorders>
            <w:shd w:val="clear" w:color="000000" w:fill="FFFFFF"/>
            <w:vAlign w:val="bottom"/>
          </w:tcPr>
          <w:p w14:paraId="7EAA845B"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Kohorta</w:t>
            </w:r>
          </w:p>
        </w:tc>
        <w:tc>
          <w:tcPr>
            <w:tcW w:w="2869" w:type="dxa"/>
            <w:tcBorders>
              <w:top w:val="single" w:sz="12" w:space="0" w:color="000000"/>
              <w:left w:val="single" w:sz="4" w:space="0" w:color="000000"/>
              <w:bottom w:val="single" w:sz="12" w:space="0" w:color="000000"/>
              <w:right w:val="single" w:sz="12" w:space="0" w:color="000000"/>
            </w:tcBorders>
            <w:shd w:val="clear" w:color="000000" w:fill="FFFFFF"/>
            <w:vAlign w:val="bottom"/>
          </w:tcPr>
          <w:p w14:paraId="6EA48C2B" w14:textId="77777777" w:rsidR="001676E4" w:rsidRPr="0092722E" w:rsidRDefault="001676E4" w:rsidP="003D66E5">
            <w:pPr>
              <w:widowControl w:val="0"/>
              <w:autoSpaceDE w:val="0"/>
              <w:autoSpaceDN w:val="0"/>
              <w:adjustRightInd w:val="0"/>
              <w:jc w:val="center"/>
              <w:rPr>
                <w:rFonts w:cs="Arial"/>
                <w:b/>
                <w:bCs/>
                <w:color w:val="000000"/>
                <w:sz w:val="18"/>
                <w:szCs w:val="18"/>
              </w:rPr>
            </w:pPr>
          </w:p>
        </w:tc>
        <w:tc>
          <w:tcPr>
            <w:tcW w:w="992"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39A24A3A"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tak</w:t>
            </w:r>
          </w:p>
        </w:tc>
        <w:tc>
          <w:tcPr>
            <w:tcW w:w="85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22066F9C"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tak</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6BF473A9"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Ani tak, ani nie</w:t>
            </w:r>
          </w:p>
        </w:tc>
        <w:tc>
          <w:tcPr>
            <w:tcW w:w="851"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1C05F8E2"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nie</w:t>
            </w:r>
          </w:p>
        </w:tc>
        <w:tc>
          <w:tcPr>
            <w:tcW w:w="992"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2C29AB87"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nie</w:t>
            </w:r>
          </w:p>
        </w:tc>
      </w:tr>
      <w:tr w:rsidR="001676E4" w:rsidRPr="00E70F88" w14:paraId="7CCB3E91" w14:textId="77777777" w:rsidTr="0020619E">
        <w:trPr>
          <w:cantSplit/>
          <w:trHeight w:val="744"/>
        </w:trPr>
        <w:tc>
          <w:tcPr>
            <w:tcW w:w="1418" w:type="dxa"/>
            <w:vMerge w:val="restart"/>
            <w:tcBorders>
              <w:top w:val="single" w:sz="12" w:space="0" w:color="000000"/>
              <w:left w:val="single" w:sz="12" w:space="0" w:color="000000"/>
              <w:right w:val="single" w:sz="4" w:space="0" w:color="000000"/>
            </w:tcBorders>
            <w:shd w:val="clear" w:color="000000" w:fill="FFFFFF"/>
          </w:tcPr>
          <w:p w14:paraId="614FB73C"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Młodsza kohorta (15-16 lat)</w:t>
            </w:r>
          </w:p>
          <w:p w14:paraId="4A3550C3"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 xml:space="preserve"> </w:t>
            </w:r>
          </w:p>
        </w:tc>
        <w:tc>
          <w:tcPr>
            <w:tcW w:w="2869" w:type="dxa"/>
            <w:tcBorders>
              <w:top w:val="single" w:sz="12" w:space="0" w:color="000000"/>
              <w:left w:val="single" w:sz="4" w:space="0" w:color="000000"/>
              <w:bottom w:val="nil"/>
              <w:right w:val="single" w:sz="12" w:space="0" w:color="000000"/>
            </w:tcBorders>
            <w:shd w:val="clear" w:color="000000" w:fill="FFFFFF"/>
            <w:vAlign w:val="center"/>
          </w:tcPr>
          <w:p w14:paraId="7A682C1E"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że spędza się za dużo czasu na graniu</w:t>
            </w:r>
          </w:p>
        </w:tc>
        <w:tc>
          <w:tcPr>
            <w:tcW w:w="992" w:type="dxa"/>
            <w:tcBorders>
              <w:top w:val="single" w:sz="12" w:space="0" w:color="000000"/>
              <w:left w:val="single" w:sz="12" w:space="0" w:color="000000"/>
              <w:bottom w:val="nil"/>
              <w:right w:val="single" w:sz="2" w:space="0" w:color="000000"/>
            </w:tcBorders>
            <w:shd w:val="clear" w:color="000000" w:fill="FFFFFF"/>
            <w:vAlign w:val="center"/>
          </w:tcPr>
          <w:p w14:paraId="09716E97" w14:textId="77777777" w:rsidR="001676E4" w:rsidRPr="00E70F88" w:rsidRDefault="001676E4" w:rsidP="003D66E5">
            <w:pPr>
              <w:jc w:val="right"/>
              <w:rPr>
                <w:rFonts w:cs="Arial"/>
                <w:color w:val="000000"/>
                <w:sz w:val="18"/>
                <w:szCs w:val="18"/>
              </w:rPr>
            </w:pPr>
            <w:r w:rsidRPr="00E70F88">
              <w:rPr>
                <w:rFonts w:cs="Arial"/>
                <w:color w:val="000000"/>
                <w:sz w:val="18"/>
                <w:szCs w:val="18"/>
              </w:rPr>
              <w:t>7,6</w:t>
            </w:r>
          </w:p>
        </w:tc>
        <w:tc>
          <w:tcPr>
            <w:tcW w:w="850" w:type="dxa"/>
            <w:tcBorders>
              <w:top w:val="single" w:sz="12" w:space="0" w:color="000000"/>
              <w:left w:val="single" w:sz="2" w:space="0" w:color="000000"/>
              <w:bottom w:val="nil"/>
              <w:right w:val="single" w:sz="2" w:space="0" w:color="000000"/>
            </w:tcBorders>
            <w:shd w:val="clear" w:color="000000" w:fill="FFFFFF"/>
            <w:vAlign w:val="center"/>
          </w:tcPr>
          <w:p w14:paraId="5FAC5BB7" w14:textId="77777777" w:rsidR="001676E4" w:rsidRPr="00E70F88" w:rsidRDefault="001676E4" w:rsidP="003D66E5">
            <w:pPr>
              <w:jc w:val="right"/>
              <w:rPr>
                <w:rFonts w:cs="Arial"/>
                <w:color w:val="000000"/>
                <w:sz w:val="18"/>
                <w:szCs w:val="18"/>
              </w:rPr>
            </w:pPr>
            <w:r w:rsidRPr="00E70F88">
              <w:rPr>
                <w:rFonts w:cs="Arial"/>
                <w:color w:val="000000"/>
                <w:sz w:val="18"/>
                <w:szCs w:val="18"/>
              </w:rPr>
              <w:t>13,3</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7247528B" w14:textId="77777777" w:rsidR="001676E4" w:rsidRPr="00E70F88" w:rsidRDefault="001676E4" w:rsidP="003D66E5">
            <w:pPr>
              <w:jc w:val="right"/>
              <w:rPr>
                <w:rFonts w:cs="Arial"/>
                <w:color w:val="000000"/>
                <w:sz w:val="18"/>
                <w:szCs w:val="18"/>
              </w:rPr>
            </w:pPr>
            <w:r w:rsidRPr="00E70F88">
              <w:rPr>
                <w:rFonts w:cs="Arial"/>
                <w:color w:val="000000"/>
                <w:sz w:val="18"/>
                <w:szCs w:val="18"/>
              </w:rPr>
              <w:t>19,8</w:t>
            </w:r>
          </w:p>
        </w:tc>
        <w:tc>
          <w:tcPr>
            <w:tcW w:w="851" w:type="dxa"/>
            <w:tcBorders>
              <w:top w:val="single" w:sz="12" w:space="0" w:color="000000"/>
              <w:left w:val="single" w:sz="2" w:space="0" w:color="000000"/>
              <w:bottom w:val="nil"/>
              <w:right w:val="single" w:sz="2" w:space="0" w:color="000000"/>
            </w:tcBorders>
            <w:shd w:val="clear" w:color="000000" w:fill="FFFFFF"/>
            <w:vAlign w:val="center"/>
          </w:tcPr>
          <w:p w14:paraId="3536A13F" w14:textId="77777777" w:rsidR="001676E4" w:rsidRPr="00E70F88" w:rsidRDefault="001676E4" w:rsidP="003D66E5">
            <w:pPr>
              <w:jc w:val="right"/>
              <w:rPr>
                <w:rFonts w:cs="Arial"/>
                <w:color w:val="000000"/>
                <w:sz w:val="18"/>
                <w:szCs w:val="18"/>
              </w:rPr>
            </w:pPr>
            <w:r w:rsidRPr="00E70F88">
              <w:rPr>
                <w:rFonts w:cs="Arial"/>
                <w:color w:val="000000"/>
                <w:sz w:val="18"/>
                <w:szCs w:val="18"/>
              </w:rPr>
              <w:t>27,3</w:t>
            </w:r>
          </w:p>
        </w:tc>
        <w:tc>
          <w:tcPr>
            <w:tcW w:w="992" w:type="dxa"/>
            <w:tcBorders>
              <w:top w:val="single" w:sz="12" w:space="0" w:color="000000"/>
              <w:left w:val="single" w:sz="2" w:space="0" w:color="000000"/>
              <w:bottom w:val="nil"/>
              <w:right w:val="single" w:sz="12" w:space="0" w:color="000000"/>
            </w:tcBorders>
            <w:shd w:val="clear" w:color="000000" w:fill="FFFFFF"/>
            <w:vAlign w:val="center"/>
          </w:tcPr>
          <w:p w14:paraId="0BD4C661" w14:textId="77777777" w:rsidR="001676E4" w:rsidRPr="00E70F88" w:rsidRDefault="001676E4" w:rsidP="003D66E5">
            <w:pPr>
              <w:jc w:val="right"/>
              <w:rPr>
                <w:rFonts w:cs="Arial"/>
                <w:color w:val="000000"/>
                <w:sz w:val="18"/>
                <w:szCs w:val="18"/>
              </w:rPr>
            </w:pPr>
            <w:r w:rsidRPr="00E70F88">
              <w:rPr>
                <w:rFonts w:cs="Arial"/>
                <w:color w:val="000000"/>
                <w:sz w:val="18"/>
                <w:szCs w:val="18"/>
              </w:rPr>
              <w:t>31,9</w:t>
            </w:r>
          </w:p>
        </w:tc>
      </w:tr>
      <w:tr w:rsidR="001676E4" w:rsidRPr="00E70F88" w14:paraId="0BB8AA19" w14:textId="77777777" w:rsidTr="0020619E">
        <w:trPr>
          <w:cantSplit/>
          <w:trHeight w:val="744"/>
        </w:trPr>
        <w:tc>
          <w:tcPr>
            <w:tcW w:w="1418" w:type="dxa"/>
            <w:vMerge/>
            <w:tcBorders>
              <w:left w:val="single" w:sz="12" w:space="0" w:color="000000"/>
              <w:right w:val="single" w:sz="4" w:space="0" w:color="000000"/>
            </w:tcBorders>
            <w:shd w:val="clear" w:color="000000" w:fill="FFFFFF"/>
          </w:tcPr>
          <w:p w14:paraId="1C2C3DE2" w14:textId="77777777" w:rsidR="001676E4" w:rsidRPr="00E70F88" w:rsidRDefault="001676E4" w:rsidP="003D66E5">
            <w:pPr>
              <w:widowControl w:val="0"/>
              <w:autoSpaceDE w:val="0"/>
              <w:autoSpaceDN w:val="0"/>
              <w:adjustRightInd w:val="0"/>
              <w:rPr>
                <w:rFonts w:cs="Arial"/>
                <w:color w:val="000000"/>
                <w:sz w:val="18"/>
                <w:szCs w:val="18"/>
              </w:rPr>
            </w:pPr>
          </w:p>
        </w:tc>
        <w:tc>
          <w:tcPr>
            <w:tcW w:w="2869" w:type="dxa"/>
            <w:tcBorders>
              <w:top w:val="nil"/>
              <w:left w:val="single" w:sz="4" w:space="0" w:color="000000"/>
              <w:bottom w:val="nil"/>
              <w:right w:val="single" w:sz="12" w:space="0" w:color="000000"/>
            </w:tcBorders>
            <w:shd w:val="clear" w:color="000000" w:fill="FFFFFF"/>
            <w:vAlign w:val="center"/>
          </w:tcPr>
          <w:p w14:paraId="684ECEA8"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Zły humor jeśli brak możliwości grania</w:t>
            </w:r>
          </w:p>
        </w:tc>
        <w:tc>
          <w:tcPr>
            <w:tcW w:w="992" w:type="dxa"/>
            <w:tcBorders>
              <w:top w:val="nil"/>
              <w:left w:val="single" w:sz="12" w:space="0" w:color="000000"/>
              <w:bottom w:val="nil"/>
              <w:right w:val="single" w:sz="2" w:space="0" w:color="000000"/>
            </w:tcBorders>
            <w:shd w:val="clear" w:color="000000" w:fill="FFFFFF"/>
            <w:vAlign w:val="center"/>
          </w:tcPr>
          <w:p w14:paraId="325AEEC7" w14:textId="77777777" w:rsidR="001676E4" w:rsidRPr="00E70F88" w:rsidRDefault="001676E4" w:rsidP="003D66E5">
            <w:pPr>
              <w:jc w:val="right"/>
              <w:rPr>
                <w:rFonts w:cs="Arial"/>
                <w:color w:val="000000"/>
                <w:sz w:val="18"/>
                <w:szCs w:val="18"/>
              </w:rPr>
            </w:pPr>
            <w:r w:rsidRPr="00E70F88">
              <w:rPr>
                <w:rFonts w:cs="Arial"/>
                <w:color w:val="000000"/>
                <w:sz w:val="18"/>
                <w:szCs w:val="18"/>
              </w:rPr>
              <w:t>3,1</w:t>
            </w:r>
          </w:p>
        </w:tc>
        <w:tc>
          <w:tcPr>
            <w:tcW w:w="850" w:type="dxa"/>
            <w:tcBorders>
              <w:top w:val="nil"/>
              <w:left w:val="single" w:sz="2" w:space="0" w:color="000000"/>
              <w:bottom w:val="nil"/>
              <w:right w:val="single" w:sz="2" w:space="0" w:color="000000"/>
            </w:tcBorders>
            <w:shd w:val="clear" w:color="000000" w:fill="FFFFFF"/>
            <w:vAlign w:val="center"/>
          </w:tcPr>
          <w:p w14:paraId="658729C6" w14:textId="77777777" w:rsidR="001676E4" w:rsidRPr="00E70F88" w:rsidRDefault="001676E4" w:rsidP="003D66E5">
            <w:pPr>
              <w:jc w:val="right"/>
              <w:rPr>
                <w:rFonts w:cs="Arial"/>
                <w:color w:val="000000"/>
                <w:sz w:val="18"/>
                <w:szCs w:val="18"/>
              </w:rPr>
            </w:pPr>
            <w:r w:rsidRPr="00E70F88">
              <w:rPr>
                <w:rFonts w:cs="Arial"/>
                <w:color w:val="000000"/>
                <w:sz w:val="18"/>
                <w:szCs w:val="18"/>
              </w:rPr>
              <w:t>6,4</w:t>
            </w:r>
          </w:p>
        </w:tc>
        <w:tc>
          <w:tcPr>
            <w:tcW w:w="1134" w:type="dxa"/>
            <w:tcBorders>
              <w:top w:val="nil"/>
              <w:left w:val="single" w:sz="2" w:space="0" w:color="000000"/>
              <w:bottom w:val="nil"/>
              <w:right w:val="single" w:sz="2" w:space="0" w:color="000000"/>
            </w:tcBorders>
            <w:shd w:val="clear" w:color="000000" w:fill="FFFFFF"/>
            <w:vAlign w:val="center"/>
          </w:tcPr>
          <w:p w14:paraId="0D5A76D6" w14:textId="77777777" w:rsidR="001676E4" w:rsidRPr="00E70F88" w:rsidRDefault="001676E4" w:rsidP="003D66E5">
            <w:pPr>
              <w:jc w:val="right"/>
              <w:rPr>
                <w:rFonts w:cs="Arial"/>
                <w:color w:val="000000"/>
                <w:sz w:val="18"/>
                <w:szCs w:val="18"/>
              </w:rPr>
            </w:pPr>
            <w:r w:rsidRPr="00E70F88">
              <w:rPr>
                <w:rFonts w:cs="Arial"/>
                <w:color w:val="000000"/>
                <w:sz w:val="18"/>
                <w:szCs w:val="18"/>
              </w:rPr>
              <w:t>14,4</w:t>
            </w:r>
          </w:p>
        </w:tc>
        <w:tc>
          <w:tcPr>
            <w:tcW w:w="851" w:type="dxa"/>
            <w:tcBorders>
              <w:top w:val="nil"/>
              <w:left w:val="single" w:sz="2" w:space="0" w:color="000000"/>
              <w:bottom w:val="nil"/>
              <w:right w:val="single" w:sz="2" w:space="0" w:color="000000"/>
            </w:tcBorders>
            <w:shd w:val="clear" w:color="000000" w:fill="FFFFFF"/>
            <w:vAlign w:val="center"/>
          </w:tcPr>
          <w:p w14:paraId="628DA46A" w14:textId="77777777" w:rsidR="001676E4" w:rsidRPr="00E70F88" w:rsidRDefault="001676E4" w:rsidP="003D66E5">
            <w:pPr>
              <w:jc w:val="right"/>
              <w:rPr>
                <w:rFonts w:cs="Arial"/>
                <w:color w:val="000000"/>
                <w:sz w:val="18"/>
                <w:szCs w:val="18"/>
              </w:rPr>
            </w:pPr>
            <w:r w:rsidRPr="00E70F88">
              <w:rPr>
                <w:rFonts w:cs="Arial"/>
                <w:color w:val="000000"/>
                <w:sz w:val="18"/>
                <w:szCs w:val="18"/>
              </w:rPr>
              <w:t>28,0</w:t>
            </w:r>
          </w:p>
        </w:tc>
        <w:tc>
          <w:tcPr>
            <w:tcW w:w="992" w:type="dxa"/>
            <w:tcBorders>
              <w:top w:val="nil"/>
              <w:left w:val="single" w:sz="2" w:space="0" w:color="000000"/>
              <w:bottom w:val="nil"/>
              <w:right w:val="single" w:sz="12" w:space="0" w:color="000000"/>
            </w:tcBorders>
            <w:shd w:val="clear" w:color="000000" w:fill="FFFFFF"/>
            <w:vAlign w:val="center"/>
          </w:tcPr>
          <w:p w14:paraId="6EE96AF2" w14:textId="77777777" w:rsidR="001676E4" w:rsidRPr="00E70F88" w:rsidRDefault="001676E4" w:rsidP="003D66E5">
            <w:pPr>
              <w:jc w:val="right"/>
              <w:rPr>
                <w:rFonts w:cs="Arial"/>
                <w:color w:val="000000"/>
                <w:sz w:val="18"/>
                <w:szCs w:val="18"/>
              </w:rPr>
            </w:pPr>
            <w:r w:rsidRPr="00E70F88">
              <w:rPr>
                <w:rFonts w:cs="Arial"/>
                <w:color w:val="000000"/>
                <w:sz w:val="18"/>
                <w:szCs w:val="18"/>
              </w:rPr>
              <w:t>48,1</w:t>
            </w:r>
          </w:p>
        </w:tc>
      </w:tr>
      <w:tr w:rsidR="001676E4" w:rsidRPr="00E70F88" w14:paraId="6BE94DE8" w14:textId="77777777" w:rsidTr="0020619E">
        <w:trPr>
          <w:cantSplit/>
          <w:trHeight w:val="780"/>
        </w:trPr>
        <w:tc>
          <w:tcPr>
            <w:tcW w:w="1418" w:type="dxa"/>
            <w:vMerge/>
            <w:tcBorders>
              <w:left w:val="single" w:sz="12" w:space="0" w:color="000000"/>
              <w:bottom w:val="single" w:sz="12" w:space="0" w:color="auto"/>
              <w:right w:val="single" w:sz="4" w:space="0" w:color="000000"/>
            </w:tcBorders>
            <w:shd w:val="clear" w:color="000000" w:fill="FFFFFF"/>
          </w:tcPr>
          <w:p w14:paraId="46622F03" w14:textId="77777777" w:rsidR="001676E4" w:rsidRPr="00E70F88" w:rsidRDefault="001676E4" w:rsidP="003D66E5">
            <w:pPr>
              <w:widowControl w:val="0"/>
              <w:autoSpaceDE w:val="0"/>
              <w:autoSpaceDN w:val="0"/>
              <w:adjustRightInd w:val="0"/>
              <w:rPr>
                <w:rFonts w:cs="Arial"/>
                <w:color w:val="000000"/>
                <w:sz w:val="18"/>
                <w:szCs w:val="18"/>
              </w:rPr>
            </w:pPr>
          </w:p>
        </w:tc>
        <w:tc>
          <w:tcPr>
            <w:tcW w:w="2869" w:type="dxa"/>
            <w:tcBorders>
              <w:top w:val="nil"/>
              <w:left w:val="single" w:sz="4" w:space="0" w:color="000000"/>
              <w:bottom w:val="single" w:sz="12" w:space="0" w:color="auto"/>
              <w:right w:val="single" w:sz="12" w:space="0" w:color="000000"/>
            </w:tcBorders>
            <w:shd w:val="clear" w:color="000000" w:fill="FFFFFF"/>
            <w:vAlign w:val="center"/>
          </w:tcPr>
          <w:p w14:paraId="3FB26D31"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rodziców, że spędza się za dużo czasu na graniu</w:t>
            </w:r>
          </w:p>
        </w:tc>
        <w:tc>
          <w:tcPr>
            <w:tcW w:w="992" w:type="dxa"/>
            <w:tcBorders>
              <w:top w:val="nil"/>
              <w:left w:val="single" w:sz="12" w:space="0" w:color="000000"/>
              <w:bottom w:val="single" w:sz="12" w:space="0" w:color="auto"/>
              <w:right w:val="single" w:sz="2" w:space="0" w:color="000000"/>
            </w:tcBorders>
            <w:shd w:val="clear" w:color="000000" w:fill="FFFFFF"/>
            <w:vAlign w:val="center"/>
          </w:tcPr>
          <w:p w14:paraId="3B13C83E" w14:textId="77777777" w:rsidR="001676E4" w:rsidRPr="00E70F88" w:rsidRDefault="001676E4" w:rsidP="003D66E5">
            <w:pPr>
              <w:jc w:val="right"/>
              <w:rPr>
                <w:rFonts w:cs="Arial"/>
                <w:color w:val="000000"/>
                <w:sz w:val="18"/>
                <w:szCs w:val="18"/>
              </w:rPr>
            </w:pPr>
            <w:r w:rsidRPr="00E70F88">
              <w:rPr>
                <w:rFonts w:cs="Arial"/>
                <w:color w:val="000000"/>
                <w:sz w:val="18"/>
                <w:szCs w:val="18"/>
              </w:rPr>
              <w:t>9,8</w:t>
            </w:r>
          </w:p>
        </w:tc>
        <w:tc>
          <w:tcPr>
            <w:tcW w:w="850" w:type="dxa"/>
            <w:tcBorders>
              <w:top w:val="nil"/>
              <w:left w:val="single" w:sz="2" w:space="0" w:color="000000"/>
              <w:bottom w:val="single" w:sz="12" w:space="0" w:color="auto"/>
              <w:right w:val="single" w:sz="2" w:space="0" w:color="000000"/>
            </w:tcBorders>
            <w:shd w:val="clear" w:color="000000" w:fill="FFFFFF"/>
            <w:vAlign w:val="center"/>
          </w:tcPr>
          <w:p w14:paraId="00F5CB64" w14:textId="77777777" w:rsidR="001676E4" w:rsidRPr="00E70F88" w:rsidRDefault="001676E4" w:rsidP="003D66E5">
            <w:pPr>
              <w:jc w:val="right"/>
              <w:rPr>
                <w:rFonts w:cs="Arial"/>
                <w:color w:val="000000"/>
                <w:sz w:val="18"/>
                <w:szCs w:val="18"/>
              </w:rPr>
            </w:pPr>
            <w:r w:rsidRPr="00E70F88">
              <w:rPr>
                <w:rFonts w:cs="Arial"/>
                <w:color w:val="000000"/>
                <w:sz w:val="18"/>
                <w:szCs w:val="18"/>
              </w:rPr>
              <w:t>13,7</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70887F23" w14:textId="77777777" w:rsidR="001676E4" w:rsidRPr="00E70F88" w:rsidRDefault="001676E4" w:rsidP="003D66E5">
            <w:pPr>
              <w:jc w:val="right"/>
              <w:rPr>
                <w:rFonts w:cs="Arial"/>
                <w:color w:val="000000"/>
                <w:sz w:val="18"/>
                <w:szCs w:val="18"/>
              </w:rPr>
            </w:pPr>
            <w:r w:rsidRPr="00E70F88">
              <w:rPr>
                <w:rFonts w:cs="Arial"/>
                <w:color w:val="000000"/>
                <w:sz w:val="18"/>
                <w:szCs w:val="18"/>
              </w:rPr>
              <w:t>15,3</w:t>
            </w:r>
          </w:p>
        </w:tc>
        <w:tc>
          <w:tcPr>
            <w:tcW w:w="851" w:type="dxa"/>
            <w:tcBorders>
              <w:top w:val="nil"/>
              <w:left w:val="single" w:sz="2" w:space="0" w:color="000000"/>
              <w:bottom w:val="single" w:sz="12" w:space="0" w:color="auto"/>
              <w:right w:val="single" w:sz="2" w:space="0" w:color="000000"/>
            </w:tcBorders>
            <w:shd w:val="clear" w:color="000000" w:fill="FFFFFF"/>
            <w:vAlign w:val="center"/>
          </w:tcPr>
          <w:p w14:paraId="3F824A51" w14:textId="77777777" w:rsidR="001676E4" w:rsidRPr="00E70F88" w:rsidRDefault="001676E4" w:rsidP="003D66E5">
            <w:pPr>
              <w:jc w:val="right"/>
              <w:rPr>
                <w:rFonts w:cs="Arial"/>
                <w:color w:val="000000"/>
                <w:sz w:val="18"/>
                <w:szCs w:val="18"/>
              </w:rPr>
            </w:pPr>
            <w:r w:rsidRPr="00E70F88">
              <w:rPr>
                <w:rFonts w:cs="Arial"/>
                <w:color w:val="000000"/>
                <w:sz w:val="18"/>
                <w:szCs w:val="18"/>
              </w:rPr>
              <w:t>21,8</w:t>
            </w:r>
          </w:p>
        </w:tc>
        <w:tc>
          <w:tcPr>
            <w:tcW w:w="992" w:type="dxa"/>
            <w:tcBorders>
              <w:top w:val="nil"/>
              <w:left w:val="single" w:sz="2" w:space="0" w:color="000000"/>
              <w:bottom w:val="single" w:sz="12" w:space="0" w:color="auto"/>
              <w:right w:val="single" w:sz="12" w:space="0" w:color="000000"/>
            </w:tcBorders>
            <w:shd w:val="clear" w:color="000000" w:fill="FFFFFF"/>
            <w:vAlign w:val="center"/>
          </w:tcPr>
          <w:p w14:paraId="0469DA53" w14:textId="77777777" w:rsidR="001676E4" w:rsidRPr="00E70F88" w:rsidRDefault="001676E4" w:rsidP="003D66E5">
            <w:pPr>
              <w:jc w:val="right"/>
              <w:rPr>
                <w:rFonts w:cs="Arial"/>
                <w:color w:val="000000"/>
                <w:sz w:val="18"/>
                <w:szCs w:val="18"/>
              </w:rPr>
            </w:pPr>
            <w:r w:rsidRPr="00E70F88">
              <w:rPr>
                <w:rFonts w:cs="Arial"/>
                <w:color w:val="000000"/>
                <w:sz w:val="18"/>
                <w:szCs w:val="18"/>
              </w:rPr>
              <w:t>39,5</w:t>
            </w:r>
          </w:p>
        </w:tc>
      </w:tr>
      <w:tr w:rsidR="001676E4" w:rsidRPr="00E70F88" w14:paraId="30544EB9" w14:textId="77777777" w:rsidTr="0020619E">
        <w:trPr>
          <w:cantSplit/>
          <w:trHeight w:val="744"/>
        </w:trPr>
        <w:tc>
          <w:tcPr>
            <w:tcW w:w="1418" w:type="dxa"/>
            <w:vMerge w:val="restart"/>
            <w:tcBorders>
              <w:top w:val="single" w:sz="12" w:space="0" w:color="auto"/>
              <w:left w:val="single" w:sz="12" w:space="0" w:color="000000"/>
              <w:right w:val="single" w:sz="4" w:space="0" w:color="000000"/>
            </w:tcBorders>
            <w:shd w:val="clear" w:color="000000" w:fill="FFFFFF"/>
          </w:tcPr>
          <w:p w14:paraId="705EC07A"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Starsza kohorta (17-18 lat)</w:t>
            </w:r>
          </w:p>
          <w:p w14:paraId="08A34ACF" w14:textId="0AE4B98D" w:rsidR="001676E4" w:rsidRPr="00E70F88" w:rsidRDefault="001676E4" w:rsidP="003D66E5">
            <w:pPr>
              <w:widowControl w:val="0"/>
              <w:autoSpaceDE w:val="0"/>
              <w:autoSpaceDN w:val="0"/>
              <w:adjustRightInd w:val="0"/>
              <w:rPr>
                <w:rFonts w:cs="Arial"/>
                <w:color w:val="000000"/>
                <w:sz w:val="18"/>
                <w:szCs w:val="18"/>
              </w:rPr>
            </w:pPr>
          </w:p>
        </w:tc>
        <w:tc>
          <w:tcPr>
            <w:tcW w:w="2869" w:type="dxa"/>
            <w:tcBorders>
              <w:top w:val="single" w:sz="12" w:space="0" w:color="auto"/>
              <w:left w:val="single" w:sz="4" w:space="0" w:color="000000"/>
              <w:bottom w:val="nil"/>
              <w:right w:val="single" w:sz="12" w:space="0" w:color="000000"/>
            </w:tcBorders>
            <w:shd w:val="clear" w:color="000000" w:fill="FFFFFF"/>
            <w:vAlign w:val="center"/>
          </w:tcPr>
          <w:p w14:paraId="7B79A0F7"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że spędza się za dużo czasu na graniu</w:t>
            </w:r>
          </w:p>
        </w:tc>
        <w:tc>
          <w:tcPr>
            <w:tcW w:w="992" w:type="dxa"/>
            <w:tcBorders>
              <w:top w:val="single" w:sz="12" w:space="0" w:color="auto"/>
              <w:left w:val="single" w:sz="12" w:space="0" w:color="000000"/>
              <w:bottom w:val="nil"/>
              <w:right w:val="single" w:sz="2" w:space="0" w:color="000000"/>
            </w:tcBorders>
            <w:shd w:val="clear" w:color="000000" w:fill="FFFFFF"/>
            <w:vAlign w:val="center"/>
          </w:tcPr>
          <w:p w14:paraId="042125A9" w14:textId="77777777" w:rsidR="001676E4" w:rsidRPr="00E70F88" w:rsidRDefault="001676E4" w:rsidP="003D66E5">
            <w:pPr>
              <w:jc w:val="right"/>
              <w:rPr>
                <w:rFonts w:cs="Arial"/>
                <w:color w:val="000000"/>
                <w:sz w:val="18"/>
                <w:szCs w:val="18"/>
              </w:rPr>
            </w:pPr>
            <w:r w:rsidRPr="00E70F88">
              <w:rPr>
                <w:rFonts w:cs="Arial"/>
                <w:color w:val="000000"/>
                <w:sz w:val="18"/>
                <w:szCs w:val="18"/>
              </w:rPr>
              <w:t>9,0</w:t>
            </w:r>
          </w:p>
        </w:tc>
        <w:tc>
          <w:tcPr>
            <w:tcW w:w="850" w:type="dxa"/>
            <w:tcBorders>
              <w:top w:val="single" w:sz="12" w:space="0" w:color="auto"/>
              <w:left w:val="single" w:sz="2" w:space="0" w:color="000000"/>
              <w:bottom w:val="nil"/>
              <w:right w:val="single" w:sz="2" w:space="0" w:color="000000"/>
            </w:tcBorders>
            <w:shd w:val="clear" w:color="000000" w:fill="FFFFFF"/>
            <w:vAlign w:val="center"/>
          </w:tcPr>
          <w:p w14:paraId="06AE76AD" w14:textId="77777777" w:rsidR="001676E4" w:rsidRPr="00E70F88" w:rsidRDefault="001676E4" w:rsidP="003D66E5">
            <w:pPr>
              <w:jc w:val="right"/>
              <w:rPr>
                <w:rFonts w:cs="Arial"/>
                <w:color w:val="000000"/>
                <w:sz w:val="18"/>
                <w:szCs w:val="18"/>
              </w:rPr>
            </w:pPr>
            <w:r w:rsidRPr="00E70F88">
              <w:rPr>
                <w:rFonts w:cs="Arial"/>
                <w:color w:val="000000"/>
                <w:sz w:val="18"/>
                <w:szCs w:val="18"/>
              </w:rPr>
              <w:t>12,8</w:t>
            </w:r>
          </w:p>
        </w:tc>
        <w:tc>
          <w:tcPr>
            <w:tcW w:w="1134" w:type="dxa"/>
            <w:tcBorders>
              <w:top w:val="single" w:sz="12" w:space="0" w:color="auto"/>
              <w:left w:val="single" w:sz="2" w:space="0" w:color="000000"/>
              <w:bottom w:val="nil"/>
              <w:right w:val="single" w:sz="2" w:space="0" w:color="000000"/>
            </w:tcBorders>
            <w:shd w:val="clear" w:color="000000" w:fill="FFFFFF"/>
            <w:vAlign w:val="center"/>
          </w:tcPr>
          <w:p w14:paraId="6E0B79C0" w14:textId="77777777" w:rsidR="001676E4" w:rsidRPr="00E70F88" w:rsidRDefault="001676E4" w:rsidP="003D66E5">
            <w:pPr>
              <w:jc w:val="right"/>
              <w:rPr>
                <w:rFonts w:cs="Arial"/>
                <w:color w:val="000000"/>
                <w:sz w:val="18"/>
                <w:szCs w:val="18"/>
              </w:rPr>
            </w:pPr>
            <w:r w:rsidRPr="00E70F88">
              <w:rPr>
                <w:rFonts w:cs="Arial"/>
                <w:color w:val="000000"/>
                <w:sz w:val="18"/>
                <w:szCs w:val="18"/>
              </w:rPr>
              <w:t>15,8</w:t>
            </w:r>
          </w:p>
        </w:tc>
        <w:tc>
          <w:tcPr>
            <w:tcW w:w="851" w:type="dxa"/>
            <w:tcBorders>
              <w:top w:val="single" w:sz="12" w:space="0" w:color="auto"/>
              <w:left w:val="single" w:sz="2" w:space="0" w:color="000000"/>
              <w:bottom w:val="nil"/>
              <w:right w:val="single" w:sz="2" w:space="0" w:color="000000"/>
            </w:tcBorders>
            <w:shd w:val="clear" w:color="000000" w:fill="FFFFFF"/>
            <w:vAlign w:val="center"/>
          </w:tcPr>
          <w:p w14:paraId="494AAFB6" w14:textId="77777777" w:rsidR="001676E4" w:rsidRPr="00E70F88" w:rsidRDefault="001676E4" w:rsidP="003D66E5">
            <w:pPr>
              <w:jc w:val="right"/>
              <w:rPr>
                <w:rFonts w:cs="Arial"/>
                <w:color w:val="000000"/>
                <w:sz w:val="18"/>
                <w:szCs w:val="18"/>
              </w:rPr>
            </w:pPr>
            <w:r w:rsidRPr="00E70F88">
              <w:rPr>
                <w:rFonts w:cs="Arial"/>
                <w:color w:val="000000"/>
                <w:sz w:val="18"/>
                <w:szCs w:val="18"/>
              </w:rPr>
              <w:t>24,3</w:t>
            </w:r>
          </w:p>
        </w:tc>
        <w:tc>
          <w:tcPr>
            <w:tcW w:w="992" w:type="dxa"/>
            <w:tcBorders>
              <w:top w:val="single" w:sz="12" w:space="0" w:color="auto"/>
              <w:left w:val="single" w:sz="2" w:space="0" w:color="000000"/>
              <w:bottom w:val="nil"/>
              <w:right w:val="single" w:sz="12" w:space="0" w:color="000000"/>
            </w:tcBorders>
            <w:shd w:val="clear" w:color="000000" w:fill="FFFFFF"/>
            <w:vAlign w:val="center"/>
          </w:tcPr>
          <w:p w14:paraId="5143C7C9" w14:textId="77777777" w:rsidR="001676E4" w:rsidRPr="00E70F88" w:rsidRDefault="001676E4" w:rsidP="003D66E5">
            <w:pPr>
              <w:jc w:val="right"/>
              <w:rPr>
                <w:rFonts w:cs="Arial"/>
                <w:color w:val="000000"/>
                <w:sz w:val="18"/>
                <w:szCs w:val="18"/>
              </w:rPr>
            </w:pPr>
            <w:r w:rsidRPr="00E70F88">
              <w:rPr>
                <w:rFonts w:cs="Arial"/>
                <w:color w:val="000000"/>
                <w:sz w:val="18"/>
                <w:szCs w:val="18"/>
              </w:rPr>
              <w:t>38,0</w:t>
            </w:r>
          </w:p>
        </w:tc>
      </w:tr>
      <w:tr w:rsidR="001676E4" w:rsidRPr="00E70F88" w14:paraId="746AFA35" w14:textId="77777777" w:rsidTr="0020619E">
        <w:trPr>
          <w:cantSplit/>
          <w:trHeight w:val="744"/>
        </w:trPr>
        <w:tc>
          <w:tcPr>
            <w:tcW w:w="1418" w:type="dxa"/>
            <w:vMerge/>
            <w:tcBorders>
              <w:left w:val="single" w:sz="12" w:space="0" w:color="000000"/>
              <w:right w:val="single" w:sz="4" w:space="0" w:color="000000"/>
            </w:tcBorders>
            <w:shd w:val="clear" w:color="000000" w:fill="FFFFFF"/>
          </w:tcPr>
          <w:p w14:paraId="2D5CEDD8" w14:textId="77777777" w:rsidR="001676E4" w:rsidRPr="00E70F88" w:rsidRDefault="001676E4" w:rsidP="003D66E5">
            <w:pPr>
              <w:widowControl w:val="0"/>
              <w:autoSpaceDE w:val="0"/>
              <w:autoSpaceDN w:val="0"/>
              <w:adjustRightInd w:val="0"/>
              <w:rPr>
                <w:rFonts w:cs="Arial"/>
                <w:color w:val="000000"/>
                <w:sz w:val="18"/>
                <w:szCs w:val="18"/>
              </w:rPr>
            </w:pPr>
          </w:p>
        </w:tc>
        <w:tc>
          <w:tcPr>
            <w:tcW w:w="2869" w:type="dxa"/>
            <w:tcBorders>
              <w:top w:val="nil"/>
              <w:left w:val="single" w:sz="4" w:space="0" w:color="000000"/>
              <w:bottom w:val="nil"/>
              <w:right w:val="single" w:sz="12" w:space="0" w:color="000000"/>
            </w:tcBorders>
            <w:shd w:val="clear" w:color="000000" w:fill="FFFFFF"/>
            <w:vAlign w:val="center"/>
          </w:tcPr>
          <w:p w14:paraId="611D3AC1"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Zły humor jeśli brak możliwości grania</w:t>
            </w:r>
          </w:p>
        </w:tc>
        <w:tc>
          <w:tcPr>
            <w:tcW w:w="992" w:type="dxa"/>
            <w:tcBorders>
              <w:top w:val="nil"/>
              <w:left w:val="single" w:sz="12" w:space="0" w:color="000000"/>
              <w:bottom w:val="nil"/>
              <w:right w:val="single" w:sz="2" w:space="0" w:color="000000"/>
            </w:tcBorders>
            <w:shd w:val="clear" w:color="000000" w:fill="FFFFFF"/>
            <w:vAlign w:val="center"/>
          </w:tcPr>
          <w:p w14:paraId="3963DC4D" w14:textId="77777777" w:rsidR="001676E4" w:rsidRPr="00E70F88" w:rsidRDefault="001676E4" w:rsidP="003D66E5">
            <w:pPr>
              <w:jc w:val="right"/>
              <w:rPr>
                <w:rFonts w:cs="Arial"/>
                <w:color w:val="000000"/>
                <w:sz w:val="18"/>
                <w:szCs w:val="18"/>
              </w:rPr>
            </w:pPr>
            <w:r w:rsidRPr="00E70F88">
              <w:rPr>
                <w:rFonts w:cs="Arial"/>
                <w:color w:val="000000"/>
                <w:sz w:val="18"/>
                <w:szCs w:val="18"/>
              </w:rPr>
              <w:t>3,7</w:t>
            </w:r>
          </w:p>
        </w:tc>
        <w:tc>
          <w:tcPr>
            <w:tcW w:w="850" w:type="dxa"/>
            <w:tcBorders>
              <w:top w:val="nil"/>
              <w:left w:val="single" w:sz="2" w:space="0" w:color="000000"/>
              <w:bottom w:val="nil"/>
              <w:right w:val="single" w:sz="2" w:space="0" w:color="000000"/>
            </w:tcBorders>
            <w:shd w:val="clear" w:color="000000" w:fill="FFFFFF"/>
            <w:vAlign w:val="center"/>
          </w:tcPr>
          <w:p w14:paraId="470735D0" w14:textId="77777777" w:rsidR="001676E4" w:rsidRPr="00E70F88" w:rsidRDefault="001676E4" w:rsidP="003D66E5">
            <w:pPr>
              <w:jc w:val="right"/>
              <w:rPr>
                <w:rFonts w:cs="Arial"/>
                <w:color w:val="000000"/>
                <w:sz w:val="18"/>
                <w:szCs w:val="18"/>
              </w:rPr>
            </w:pPr>
            <w:r w:rsidRPr="00E70F88">
              <w:rPr>
                <w:rFonts w:cs="Arial"/>
                <w:color w:val="000000"/>
                <w:sz w:val="18"/>
                <w:szCs w:val="18"/>
              </w:rPr>
              <w:t>4,8</w:t>
            </w:r>
          </w:p>
        </w:tc>
        <w:tc>
          <w:tcPr>
            <w:tcW w:w="1134" w:type="dxa"/>
            <w:tcBorders>
              <w:top w:val="nil"/>
              <w:left w:val="single" w:sz="2" w:space="0" w:color="000000"/>
              <w:bottom w:val="nil"/>
              <w:right w:val="single" w:sz="2" w:space="0" w:color="000000"/>
            </w:tcBorders>
            <w:shd w:val="clear" w:color="000000" w:fill="FFFFFF"/>
            <w:vAlign w:val="center"/>
          </w:tcPr>
          <w:p w14:paraId="7AA83D1B" w14:textId="77777777" w:rsidR="001676E4" w:rsidRPr="00E70F88" w:rsidRDefault="001676E4" w:rsidP="003D66E5">
            <w:pPr>
              <w:jc w:val="right"/>
              <w:rPr>
                <w:rFonts w:cs="Arial"/>
                <w:color w:val="000000"/>
                <w:sz w:val="18"/>
                <w:szCs w:val="18"/>
              </w:rPr>
            </w:pPr>
            <w:r w:rsidRPr="00E70F88">
              <w:rPr>
                <w:rFonts w:cs="Arial"/>
                <w:color w:val="000000"/>
                <w:sz w:val="18"/>
                <w:szCs w:val="18"/>
              </w:rPr>
              <w:t>11,1</w:t>
            </w:r>
          </w:p>
        </w:tc>
        <w:tc>
          <w:tcPr>
            <w:tcW w:w="851" w:type="dxa"/>
            <w:tcBorders>
              <w:top w:val="nil"/>
              <w:left w:val="single" w:sz="2" w:space="0" w:color="000000"/>
              <w:bottom w:val="nil"/>
              <w:right w:val="single" w:sz="2" w:space="0" w:color="000000"/>
            </w:tcBorders>
            <w:shd w:val="clear" w:color="000000" w:fill="FFFFFF"/>
            <w:vAlign w:val="center"/>
          </w:tcPr>
          <w:p w14:paraId="233D3F21" w14:textId="77777777" w:rsidR="001676E4" w:rsidRPr="00E70F88" w:rsidRDefault="001676E4" w:rsidP="003D66E5">
            <w:pPr>
              <w:jc w:val="right"/>
              <w:rPr>
                <w:rFonts w:cs="Arial"/>
                <w:color w:val="000000"/>
                <w:sz w:val="18"/>
                <w:szCs w:val="18"/>
              </w:rPr>
            </w:pPr>
            <w:r w:rsidRPr="00E70F88">
              <w:rPr>
                <w:rFonts w:cs="Arial"/>
                <w:color w:val="000000"/>
                <w:sz w:val="18"/>
                <w:szCs w:val="18"/>
              </w:rPr>
              <w:t>24,9</w:t>
            </w:r>
          </w:p>
        </w:tc>
        <w:tc>
          <w:tcPr>
            <w:tcW w:w="992" w:type="dxa"/>
            <w:tcBorders>
              <w:top w:val="nil"/>
              <w:left w:val="single" w:sz="2" w:space="0" w:color="000000"/>
              <w:bottom w:val="nil"/>
              <w:right w:val="single" w:sz="12" w:space="0" w:color="000000"/>
            </w:tcBorders>
            <w:shd w:val="clear" w:color="000000" w:fill="FFFFFF"/>
            <w:vAlign w:val="center"/>
          </w:tcPr>
          <w:p w14:paraId="7FAB9473" w14:textId="77777777" w:rsidR="001676E4" w:rsidRPr="00E70F88" w:rsidRDefault="001676E4" w:rsidP="003D66E5">
            <w:pPr>
              <w:jc w:val="right"/>
              <w:rPr>
                <w:rFonts w:cs="Arial"/>
                <w:color w:val="000000"/>
                <w:sz w:val="18"/>
                <w:szCs w:val="18"/>
              </w:rPr>
            </w:pPr>
            <w:r w:rsidRPr="00E70F88">
              <w:rPr>
                <w:rFonts w:cs="Arial"/>
                <w:color w:val="000000"/>
                <w:sz w:val="18"/>
                <w:szCs w:val="18"/>
              </w:rPr>
              <w:t>55,6</w:t>
            </w:r>
          </w:p>
        </w:tc>
      </w:tr>
      <w:tr w:rsidR="001676E4" w:rsidRPr="00E70F88" w14:paraId="1B193397" w14:textId="77777777" w:rsidTr="0020619E">
        <w:trPr>
          <w:cantSplit/>
          <w:trHeight w:val="744"/>
        </w:trPr>
        <w:tc>
          <w:tcPr>
            <w:tcW w:w="1418" w:type="dxa"/>
            <w:vMerge/>
            <w:tcBorders>
              <w:left w:val="single" w:sz="12" w:space="0" w:color="000000"/>
              <w:bottom w:val="single" w:sz="12" w:space="0" w:color="000000"/>
              <w:right w:val="single" w:sz="4" w:space="0" w:color="000000"/>
            </w:tcBorders>
            <w:shd w:val="clear" w:color="000000" w:fill="FFFFFF"/>
          </w:tcPr>
          <w:p w14:paraId="470DBBF7" w14:textId="77777777" w:rsidR="001676E4" w:rsidRPr="00E70F88" w:rsidRDefault="001676E4" w:rsidP="003D66E5">
            <w:pPr>
              <w:widowControl w:val="0"/>
              <w:autoSpaceDE w:val="0"/>
              <w:autoSpaceDN w:val="0"/>
              <w:adjustRightInd w:val="0"/>
              <w:rPr>
                <w:rFonts w:cs="Arial"/>
                <w:color w:val="000000"/>
                <w:sz w:val="18"/>
                <w:szCs w:val="18"/>
              </w:rPr>
            </w:pPr>
          </w:p>
        </w:tc>
        <w:tc>
          <w:tcPr>
            <w:tcW w:w="2869" w:type="dxa"/>
            <w:tcBorders>
              <w:top w:val="nil"/>
              <w:left w:val="single" w:sz="4" w:space="0" w:color="000000"/>
              <w:bottom w:val="single" w:sz="12" w:space="0" w:color="auto"/>
              <w:right w:val="single" w:sz="12" w:space="0" w:color="000000"/>
            </w:tcBorders>
            <w:shd w:val="clear" w:color="000000" w:fill="FFFFFF"/>
            <w:vAlign w:val="center"/>
          </w:tcPr>
          <w:p w14:paraId="74F0BE2E"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rodziców, że spędza się za dużo czasu na graniu</w:t>
            </w:r>
          </w:p>
        </w:tc>
        <w:tc>
          <w:tcPr>
            <w:tcW w:w="992" w:type="dxa"/>
            <w:tcBorders>
              <w:top w:val="nil"/>
              <w:left w:val="single" w:sz="12" w:space="0" w:color="000000"/>
              <w:bottom w:val="single" w:sz="12" w:space="0" w:color="auto"/>
              <w:right w:val="single" w:sz="2" w:space="0" w:color="000000"/>
            </w:tcBorders>
            <w:shd w:val="clear" w:color="000000" w:fill="FFFFFF"/>
            <w:vAlign w:val="center"/>
          </w:tcPr>
          <w:p w14:paraId="52BCE78A" w14:textId="77777777" w:rsidR="001676E4" w:rsidRPr="00E70F88" w:rsidRDefault="001676E4" w:rsidP="003D66E5">
            <w:pPr>
              <w:jc w:val="right"/>
              <w:rPr>
                <w:rFonts w:cs="Arial"/>
                <w:color w:val="000000"/>
                <w:sz w:val="18"/>
                <w:szCs w:val="18"/>
              </w:rPr>
            </w:pPr>
            <w:r w:rsidRPr="00E70F88">
              <w:rPr>
                <w:rFonts w:cs="Arial"/>
                <w:color w:val="000000"/>
                <w:sz w:val="18"/>
                <w:szCs w:val="18"/>
              </w:rPr>
              <w:t>8,2</w:t>
            </w:r>
          </w:p>
        </w:tc>
        <w:tc>
          <w:tcPr>
            <w:tcW w:w="850" w:type="dxa"/>
            <w:tcBorders>
              <w:top w:val="nil"/>
              <w:left w:val="single" w:sz="2" w:space="0" w:color="000000"/>
              <w:bottom w:val="single" w:sz="12" w:space="0" w:color="auto"/>
              <w:right w:val="single" w:sz="2" w:space="0" w:color="000000"/>
            </w:tcBorders>
            <w:shd w:val="clear" w:color="000000" w:fill="FFFFFF"/>
            <w:vAlign w:val="center"/>
          </w:tcPr>
          <w:p w14:paraId="340B8AA6" w14:textId="77777777" w:rsidR="001676E4" w:rsidRPr="00E70F88" w:rsidRDefault="001676E4" w:rsidP="003D66E5">
            <w:pPr>
              <w:jc w:val="right"/>
              <w:rPr>
                <w:rFonts w:cs="Arial"/>
                <w:color w:val="000000"/>
                <w:sz w:val="18"/>
                <w:szCs w:val="18"/>
              </w:rPr>
            </w:pPr>
            <w:r w:rsidRPr="00E70F88">
              <w:rPr>
                <w:rFonts w:cs="Arial"/>
                <w:color w:val="000000"/>
                <w:sz w:val="18"/>
                <w:szCs w:val="18"/>
              </w:rPr>
              <w:t>9,5</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39D2E343" w14:textId="77777777" w:rsidR="001676E4" w:rsidRPr="00E70F88" w:rsidRDefault="001676E4" w:rsidP="003D66E5">
            <w:pPr>
              <w:jc w:val="right"/>
              <w:rPr>
                <w:rFonts w:cs="Arial"/>
                <w:color w:val="000000"/>
                <w:sz w:val="18"/>
                <w:szCs w:val="18"/>
              </w:rPr>
            </w:pPr>
            <w:r w:rsidRPr="00E70F88">
              <w:rPr>
                <w:rFonts w:cs="Arial"/>
                <w:color w:val="000000"/>
                <w:sz w:val="18"/>
                <w:szCs w:val="18"/>
              </w:rPr>
              <w:t>12,7</w:t>
            </w:r>
          </w:p>
        </w:tc>
        <w:tc>
          <w:tcPr>
            <w:tcW w:w="851" w:type="dxa"/>
            <w:tcBorders>
              <w:top w:val="nil"/>
              <w:left w:val="single" w:sz="2" w:space="0" w:color="000000"/>
              <w:bottom w:val="single" w:sz="12" w:space="0" w:color="auto"/>
              <w:right w:val="single" w:sz="2" w:space="0" w:color="000000"/>
            </w:tcBorders>
            <w:shd w:val="clear" w:color="000000" w:fill="FFFFFF"/>
            <w:vAlign w:val="center"/>
          </w:tcPr>
          <w:p w14:paraId="6A655CD3" w14:textId="77777777" w:rsidR="001676E4" w:rsidRPr="00E70F88" w:rsidRDefault="001676E4" w:rsidP="003D66E5">
            <w:pPr>
              <w:jc w:val="right"/>
              <w:rPr>
                <w:rFonts w:cs="Arial"/>
                <w:color w:val="000000"/>
                <w:sz w:val="18"/>
                <w:szCs w:val="18"/>
              </w:rPr>
            </w:pPr>
            <w:r w:rsidRPr="00E70F88">
              <w:rPr>
                <w:rFonts w:cs="Arial"/>
                <w:color w:val="000000"/>
                <w:sz w:val="18"/>
                <w:szCs w:val="18"/>
              </w:rPr>
              <w:t>19,0</w:t>
            </w:r>
          </w:p>
        </w:tc>
        <w:tc>
          <w:tcPr>
            <w:tcW w:w="992" w:type="dxa"/>
            <w:tcBorders>
              <w:top w:val="nil"/>
              <w:left w:val="single" w:sz="2" w:space="0" w:color="000000"/>
              <w:bottom w:val="single" w:sz="12" w:space="0" w:color="auto"/>
              <w:right w:val="single" w:sz="12" w:space="0" w:color="000000"/>
            </w:tcBorders>
            <w:shd w:val="clear" w:color="000000" w:fill="FFFFFF"/>
            <w:vAlign w:val="center"/>
          </w:tcPr>
          <w:p w14:paraId="4DA70289" w14:textId="77777777" w:rsidR="001676E4" w:rsidRPr="00E70F88" w:rsidRDefault="001676E4" w:rsidP="003D66E5">
            <w:pPr>
              <w:jc w:val="right"/>
              <w:rPr>
                <w:rFonts w:cs="Arial"/>
                <w:color w:val="000000"/>
                <w:sz w:val="18"/>
                <w:szCs w:val="18"/>
              </w:rPr>
            </w:pPr>
            <w:r w:rsidRPr="00E70F88">
              <w:rPr>
                <w:rFonts w:cs="Arial"/>
                <w:color w:val="000000"/>
                <w:sz w:val="18"/>
                <w:szCs w:val="18"/>
              </w:rPr>
              <w:t>50,6</w:t>
            </w:r>
          </w:p>
        </w:tc>
      </w:tr>
    </w:tbl>
    <w:p w14:paraId="2F10F9AD"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2355C35F" w14:textId="5CC1D889" w:rsidR="001676E4" w:rsidRPr="00A43860" w:rsidRDefault="001676E4" w:rsidP="001676E4">
      <w:pPr>
        <w:pStyle w:val="Legenda"/>
        <w:keepNext/>
        <w:rPr>
          <w:sz w:val="20"/>
          <w:szCs w:val="16"/>
        </w:rPr>
      </w:pPr>
      <w:bookmarkStart w:id="117" w:name="_Toc214279721"/>
      <w:r w:rsidRPr="00A43860">
        <w:rPr>
          <w:sz w:val="20"/>
          <w:szCs w:val="16"/>
        </w:rPr>
        <w:lastRenderedPageBreak/>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36</w:t>
      </w:r>
      <w:r w:rsidRPr="00A43860">
        <w:rPr>
          <w:sz w:val="20"/>
          <w:szCs w:val="16"/>
        </w:rPr>
        <w:fldChar w:fldCharType="end"/>
      </w:r>
      <w:r w:rsidRPr="00A43860">
        <w:rPr>
          <w:sz w:val="20"/>
          <w:szCs w:val="16"/>
        </w:rPr>
        <w:t>. Symptomy nadmiernego korzystania z gier na urządzeniach elektronicznych, takich komputer, smartfon, konsola (Polska)</w:t>
      </w:r>
      <w:bookmarkEnd w:id="117"/>
    </w:p>
    <w:tbl>
      <w:tblPr>
        <w:tblW w:w="9698" w:type="dxa"/>
        <w:tblInd w:w="93" w:type="dxa"/>
        <w:tblLayout w:type="fixed"/>
        <w:tblCellMar>
          <w:left w:w="93" w:type="dxa"/>
          <w:right w:w="93" w:type="dxa"/>
        </w:tblCellMar>
        <w:tblLook w:val="0000" w:firstRow="0" w:lastRow="0" w:firstColumn="0" w:lastColumn="0" w:noHBand="0" w:noVBand="0"/>
      </w:tblPr>
      <w:tblGrid>
        <w:gridCol w:w="1418"/>
        <w:gridCol w:w="2977"/>
        <w:gridCol w:w="1134"/>
        <w:gridCol w:w="992"/>
        <w:gridCol w:w="1134"/>
        <w:gridCol w:w="970"/>
        <w:gridCol w:w="1073"/>
      </w:tblGrid>
      <w:tr w:rsidR="001676E4" w:rsidRPr="0092722E" w14:paraId="37F6D3A8" w14:textId="77777777" w:rsidTr="003D66E5">
        <w:trPr>
          <w:trHeight w:val="340"/>
        </w:trPr>
        <w:tc>
          <w:tcPr>
            <w:tcW w:w="1418" w:type="dxa"/>
            <w:tcBorders>
              <w:top w:val="single" w:sz="12" w:space="0" w:color="000000"/>
              <w:left w:val="single" w:sz="12" w:space="0" w:color="000000"/>
              <w:bottom w:val="single" w:sz="12" w:space="0" w:color="000000"/>
              <w:right w:val="single" w:sz="4" w:space="0" w:color="000000"/>
            </w:tcBorders>
            <w:shd w:val="clear" w:color="000000" w:fill="FFFFFF"/>
            <w:vAlign w:val="bottom"/>
          </w:tcPr>
          <w:p w14:paraId="2C34E689" w14:textId="77777777" w:rsidR="001676E4" w:rsidRPr="0092722E" w:rsidRDefault="001676E4" w:rsidP="003D66E5">
            <w:pPr>
              <w:widowControl w:val="0"/>
              <w:autoSpaceDE w:val="0"/>
              <w:autoSpaceDN w:val="0"/>
              <w:adjustRightInd w:val="0"/>
              <w:rPr>
                <w:rFonts w:cs="Arial"/>
                <w:b/>
                <w:bCs/>
                <w:color w:val="000000"/>
                <w:sz w:val="18"/>
                <w:szCs w:val="18"/>
              </w:rPr>
            </w:pPr>
            <w:r w:rsidRPr="0092722E">
              <w:rPr>
                <w:rFonts w:cs="Arial"/>
                <w:b/>
                <w:bCs/>
                <w:color w:val="000000"/>
                <w:sz w:val="18"/>
                <w:szCs w:val="18"/>
              </w:rPr>
              <w:t>Kohorta</w:t>
            </w:r>
          </w:p>
        </w:tc>
        <w:tc>
          <w:tcPr>
            <w:tcW w:w="2977" w:type="dxa"/>
            <w:tcBorders>
              <w:top w:val="single" w:sz="12" w:space="0" w:color="000000"/>
              <w:left w:val="single" w:sz="4" w:space="0" w:color="000000"/>
              <w:bottom w:val="single" w:sz="12" w:space="0" w:color="000000"/>
              <w:right w:val="single" w:sz="12" w:space="0" w:color="000000"/>
            </w:tcBorders>
            <w:shd w:val="clear" w:color="000000" w:fill="FFFFFF"/>
            <w:vAlign w:val="bottom"/>
          </w:tcPr>
          <w:p w14:paraId="047CD324" w14:textId="77777777" w:rsidR="001676E4" w:rsidRPr="0092722E" w:rsidRDefault="001676E4" w:rsidP="003D66E5">
            <w:pPr>
              <w:widowControl w:val="0"/>
              <w:autoSpaceDE w:val="0"/>
              <w:autoSpaceDN w:val="0"/>
              <w:adjustRightInd w:val="0"/>
              <w:rPr>
                <w:rFonts w:cs="Arial"/>
                <w:b/>
                <w:bCs/>
                <w:color w:val="000000"/>
                <w:sz w:val="18"/>
                <w:szCs w:val="18"/>
              </w:rPr>
            </w:pPr>
            <w:r w:rsidRPr="0092722E">
              <w:rPr>
                <w:rFonts w:cs="Arial"/>
                <w:b/>
                <w:bCs/>
                <w:color w:val="000000"/>
                <w:sz w:val="18"/>
                <w:szCs w:val="18"/>
              </w:rPr>
              <w:t xml:space="preserve"> </w:t>
            </w:r>
          </w:p>
        </w:tc>
        <w:tc>
          <w:tcPr>
            <w:tcW w:w="1134"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43BCB67D"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tak</w:t>
            </w:r>
          </w:p>
        </w:tc>
        <w:tc>
          <w:tcPr>
            <w:tcW w:w="992"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39B1ABE8"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tak</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701CBC98"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Ani tak, ani nie</w:t>
            </w:r>
          </w:p>
        </w:tc>
        <w:tc>
          <w:tcPr>
            <w:tcW w:w="97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197C00D7"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Raczej nie</w:t>
            </w:r>
          </w:p>
        </w:tc>
        <w:tc>
          <w:tcPr>
            <w:tcW w:w="1073"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4539080E" w14:textId="77777777" w:rsidR="001676E4" w:rsidRPr="0092722E" w:rsidRDefault="001676E4" w:rsidP="003D66E5">
            <w:pPr>
              <w:widowControl w:val="0"/>
              <w:autoSpaceDE w:val="0"/>
              <w:autoSpaceDN w:val="0"/>
              <w:adjustRightInd w:val="0"/>
              <w:jc w:val="center"/>
              <w:rPr>
                <w:rFonts w:cs="Arial"/>
                <w:b/>
                <w:bCs/>
                <w:color w:val="000000"/>
                <w:sz w:val="18"/>
                <w:szCs w:val="18"/>
              </w:rPr>
            </w:pPr>
            <w:r w:rsidRPr="0092722E">
              <w:rPr>
                <w:rFonts w:cs="Arial"/>
                <w:b/>
                <w:bCs/>
                <w:color w:val="000000"/>
                <w:sz w:val="18"/>
                <w:szCs w:val="18"/>
              </w:rPr>
              <w:t>Zdecydowanie nie</w:t>
            </w:r>
          </w:p>
        </w:tc>
      </w:tr>
      <w:tr w:rsidR="001676E4" w:rsidRPr="00E70F88" w14:paraId="5E03B46E" w14:textId="77777777" w:rsidTr="003D66E5">
        <w:trPr>
          <w:cantSplit/>
          <w:trHeight w:val="738"/>
        </w:trPr>
        <w:tc>
          <w:tcPr>
            <w:tcW w:w="1418" w:type="dxa"/>
            <w:vMerge w:val="restart"/>
            <w:tcBorders>
              <w:top w:val="single" w:sz="12" w:space="0" w:color="000000"/>
              <w:left w:val="single" w:sz="12" w:space="0" w:color="000000"/>
              <w:right w:val="single" w:sz="4" w:space="0" w:color="000000"/>
            </w:tcBorders>
            <w:shd w:val="clear" w:color="000000" w:fill="FFFFFF"/>
          </w:tcPr>
          <w:p w14:paraId="1322B451"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Młodsza kohorta (15-16 lat)</w:t>
            </w:r>
          </w:p>
          <w:p w14:paraId="356C4A90"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 xml:space="preserve"> </w:t>
            </w:r>
          </w:p>
        </w:tc>
        <w:tc>
          <w:tcPr>
            <w:tcW w:w="2977" w:type="dxa"/>
            <w:tcBorders>
              <w:top w:val="single" w:sz="12" w:space="0" w:color="000000"/>
              <w:left w:val="single" w:sz="4" w:space="0" w:color="000000"/>
              <w:bottom w:val="nil"/>
              <w:right w:val="single" w:sz="12" w:space="0" w:color="000000"/>
            </w:tcBorders>
            <w:shd w:val="clear" w:color="000000" w:fill="FFFFFF"/>
            <w:vAlign w:val="center"/>
          </w:tcPr>
          <w:p w14:paraId="16754690"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że spędza się za dużo czasu na graniu</w:t>
            </w:r>
          </w:p>
        </w:tc>
        <w:tc>
          <w:tcPr>
            <w:tcW w:w="1134" w:type="dxa"/>
            <w:tcBorders>
              <w:top w:val="single" w:sz="12" w:space="0" w:color="000000"/>
              <w:left w:val="single" w:sz="12" w:space="0" w:color="000000"/>
              <w:bottom w:val="nil"/>
              <w:right w:val="single" w:sz="2" w:space="0" w:color="000000"/>
            </w:tcBorders>
            <w:shd w:val="clear" w:color="000000" w:fill="FFFFFF"/>
            <w:vAlign w:val="center"/>
          </w:tcPr>
          <w:p w14:paraId="2C20CA65" w14:textId="77777777" w:rsidR="001676E4" w:rsidRPr="00E70F88" w:rsidRDefault="001676E4" w:rsidP="003D66E5">
            <w:pPr>
              <w:jc w:val="right"/>
              <w:rPr>
                <w:rFonts w:cs="Arial"/>
                <w:color w:val="000000"/>
                <w:sz w:val="18"/>
                <w:szCs w:val="18"/>
              </w:rPr>
            </w:pPr>
            <w:r w:rsidRPr="00E70F88">
              <w:rPr>
                <w:rFonts w:cs="Arial"/>
                <w:color w:val="000000"/>
                <w:sz w:val="18"/>
                <w:szCs w:val="18"/>
              </w:rPr>
              <w:t>7,9</w:t>
            </w:r>
          </w:p>
        </w:tc>
        <w:tc>
          <w:tcPr>
            <w:tcW w:w="992" w:type="dxa"/>
            <w:tcBorders>
              <w:top w:val="single" w:sz="12" w:space="0" w:color="000000"/>
              <w:left w:val="single" w:sz="2" w:space="0" w:color="000000"/>
              <w:bottom w:val="nil"/>
              <w:right w:val="single" w:sz="2" w:space="0" w:color="000000"/>
            </w:tcBorders>
            <w:shd w:val="clear" w:color="000000" w:fill="FFFFFF"/>
            <w:vAlign w:val="center"/>
          </w:tcPr>
          <w:p w14:paraId="0101547F" w14:textId="77777777" w:rsidR="001676E4" w:rsidRPr="00E70F88" w:rsidRDefault="001676E4" w:rsidP="003D66E5">
            <w:pPr>
              <w:jc w:val="right"/>
              <w:rPr>
                <w:rFonts w:cs="Arial"/>
                <w:color w:val="000000"/>
                <w:sz w:val="18"/>
                <w:szCs w:val="18"/>
              </w:rPr>
            </w:pPr>
            <w:r w:rsidRPr="00E70F88">
              <w:rPr>
                <w:rFonts w:cs="Arial"/>
                <w:color w:val="000000"/>
                <w:sz w:val="18"/>
                <w:szCs w:val="18"/>
              </w:rPr>
              <w:t>14,6</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14:paraId="2B132A69" w14:textId="77777777" w:rsidR="001676E4" w:rsidRPr="00E70F88" w:rsidRDefault="001676E4" w:rsidP="003D66E5">
            <w:pPr>
              <w:jc w:val="right"/>
              <w:rPr>
                <w:rFonts w:cs="Arial"/>
                <w:color w:val="000000"/>
                <w:sz w:val="18"/>
                <w:szCs w:val="18"/>
              </w:rPr>
            </w:pPr>
            <w:r w:rsidRPr="00E70F88">
              <w:rPr>
                <w:rFonts w:cs="Arial"/>
                <w:color w:val="000000"/>
                <w:sz w:val="18"/>
                <w:szCs w:val="18"/>
              </w:rPr>
              <w:t>18,9</w:t>
            </w:r>
          </w:p>
        </w:tc>
        <w:tc>
          <w:tcPr>
            <w:tcW w:w="970" w:type="dxa"/>
            <w:tcBorders>
              <w:top w:val="single" w:sz="12" w:space="0" w:color="000000"/>
              <w:left w:val="single" w:sz="2" w:space="0" w:color="000000"/>
              <w:bottom w:val="nil"/>
              <w:right w:val="single" w:sz="2" w:space="0" w:color="000000"/>
            </w:tcBorders>
            <w:shd w:val="clear" w:color="000000" w:fill="FFFFFF"/>
            <w:vAlign w:val="center"/>
          </w:tcPr>
          <w:p w14:paraId="194EC04F" w14:textId="77777777" w:rsidR="001676E4" w:rsidRPr="00E70F88" w:rsidRDefault="001676E4" w:rsidP="003D66E5">
            <w:pPr>
              <w:jc w:val="right"/>
              <w:rPr>
                <w:rFonts w:cs="Arial"/>
                <w:color w:val="000000"/>
                <w:sz w:val="18"/>
                <w:szCs w:val="18"/>
              </w:rPr>
            </w:pPr>
            <w:r w:rsidRPr="00E70F88">
              <w:rPr>
                <w:rFonts w:cs="Arial"/>
                <w:color w:val="000000"/>
                <w:sz w:val="18"/>
                <w:szCs w:val="18"/>
              </w:rPr>
              <w:t>24,9</w:t>
            </w:r>
          </w:p>
        </w:tc>
        <w:tc>
          <w:tcPr>
            <w:tcW w:w="1073" w:type="dxa"/>
            <w:tcBorders>
              <w:top w:val="single" w:sz="12" w:space="0" w:color="000000"/>
              <w:left w:val="single" w:sz="2" w:space="0" w:color="000000"/>
              <w:bottom w:val="nil"/>
              <w:right w:val="single" w:sz="12" w:space="0" w:color="000000"/>
            </w:tcBorders>
            <w:shd w:val="clear" w:color="000000" w:fill="FFFFFF"/>
            <w:vAlign w:val="center"/>
          </w:tcPr>
          <w:p w14:paraId="7D346495" w14:textId="77777777" w:rsidR="001676E4" w:rsidRPr="00E70F88" w:rsidRDefault="001676E4" w:rsidP="003D66E5">
            <w:pPr>
              <w:jc w:val="right"/>
              <w:rPr>
                <w:rFonts w:cs="Arial"/>
                <w:color w:val="000000"/>
                <w:sz w:val="18"/>
                <w:szCs w:val="18"/>
              </w:rPr>
            </w:pPr>
            <w:r w:rsidRPr="00E70F88">
              <w:rPr>
                <w:rFonts w:cs="Arial"/>
                <w:color w:val="000000"/>
                <w:sz w:val="18"/>
                <w:szCs w:val="18"/>
              </w:rPr>
              <w:t>33,7</w:t>
            </w:r>
          </w:p>
        </w:tc>
      </w:tr>
      <w:tr w:rsidR="001676E4" w:rsidRPr="00E70F88" w14:paraId="72653F81" w14:textId="77777777" w:rsidTr="003D66E5">
        <w:trPr>
          <w:cantSplit/>
          <w:trHeight w:val="738"/>
        </w:trPr>
        <w:tc>
          <w:tcPr>
            <w:tcW w:w="1418" w:type="dxa"/>
            <w:vMerge/>
            <w:tcBorders>
              <w:left w:val="single" w:sz="12" w:space="0" w:color="000000"/>
              <w:right w:val="single" w:sz="4" w:space="0" w:color="000000"/>
            </w:tcBorders>
            <w:shd w:val="clear" w:color="000000" w:fill="FFFFFF"/>
          </w:tcPr>
          <w:p w14:paraId="4F2DD1C7" w14:textId="77777777" w:rsidR="001676E4" w:rsidRPr="00E70F88"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nil"/>
              <w:right w:val="single" w:sz="12" w:space="0" w:color="000000"/>
            </w:tcBorders>
            <w:shd w:val="clear" w:color="000000" w:fill="FFFFFF"/>
            <w:vAlign w:val="center"/>
          </w:tcPr>
          <w:p w14:paraId="2BD595C3"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Zły humor jeśli brak możliwości grania</w:t>
            </w:r>
          </w:p>
        </w:tc>
        <w:tc>
          <w:tcPr>
            <w:tcW w:w="1134" w:type="dxa"/>
            <w:tcBorders>
              <w:top w:val="nil"/>
              <w:left w:val="single" w:sz="12" w:space="0" w:color="000000"/>
              <w:bottom w:val="nil"/>
              <w:right w:val="single" w:sz="2" w:space="0" w:color="000000"/>
            </w:tcBorders>
            <w:shd w:val="clear" w:color="000000" w:fill="FFFFFF"/>
            <w:vAlign w:val="center"/>
          </w:tcPr>
          <w:p w14:paraId="3BDF24D8" w14:textId="77777777" w:rsidR="001676E4" w:rsidRPr="00E70F88" w:rsidRDefault="001676E4" w:rsidP="003D66E5">
            <w:pPr>
              <w:jc w:val="right"/>
              <w:rPr>
                <w:rFonts w:cs="Arial"/>
                <w:color w:val="000000"/>
                <w:sz w:val="18"/>
                <w:szCs w:val="18"/>
              </w:rPr>
            </w:pPr>
            <w:r w:rsidRPr="00E70F88">
              <w:rPr>
                <w:rFonts w:cs="Arial"/>
                <w:color w:val="000000"/>
                <w:sz w:val="18"/>
                <w:szCs w:val="18"/>
              </w:rPr>
              <w:t>3,3</w:t>
            </w:r>
          </w:p>
        </w:tc>
        <w:tc>
          <w:tcPr>
            <w:tcW w:w="992" w:type="dxa"/>
            <w:tcBorders>
              <w:top w:val="nil"/>
              <w:left w:val="single" w:sz="2" w:space="0" w:color="000000"/>
              <w:bottom w:val="nil"/>
              <w:right w:val="single" w:sz="2" w:space="0" w:color="000000"/>
            </w:tcBorders>
            <w:shd w:val="clear" w:color="000000" w:fill="FFFFFF"/>
            <w:vAlign w:val="center"/>
          </w:tcPr>
          <w:p w14:paraId="7A95457C" w14:textId="77777777" w:rsidR="001676E4" w:rsidRPr="00E70F88" w:rsidRDefault="001676E4" w:rsidP="003D66E5">
            <w:pPr>
              <w:jc w:val="right"/>
              <w:rPr>
                <w:rFonts w:cs="Arial"/>
                <w:color w:val="000000"/>
                <w:sz w:val="18"/>
                <w:szCs w:val="18"/>
              </w:rPr>
            </w:pPr>
            <w:r w:rsidRPr="00E70F88">
              <w:rPr>
                <w:rFonts w:cs="Arial"/>
                <w:color w:val="000000"/>
                <w:sz w:val="18"/>
                <w:szCs w:val="18"/>
              </w:rPr>
              <w:t>4,9</w:t>
            </w:r>
          </w:p>
        </w:tc>
        <w:tc>
          <w:tcPr>
            <w:tcW w:w="1134" w:type="dxa"/>
            <w:tcBorders>
              <w:top w:val="nil"/>
              <w:left w:val="single" w:sz="2" w:space="0" w:color="000000"/>
              <w:bottom w:val="nil"/>
              <w:right w:val="single" w:sz="2" w:space="0" w:color="000000"/>
            </w:tcBorders>
            <w:shd w:val="clear" w:color="000000" w:fill="FFFFFF"/>
            <w:vAlign w:val="center"/>
          </w:tcPr>
          <w:p w14:paraId="4B97B024" w14:textId="77777777" w:rsidR="001676E4" w:rsidRPr="00E70F88" w:rsidRDefault="001676E4" w:rsidP="003D66E5">
            <w:pPr>
              <w:jc w:val="right"/>
              <w:rPr>
                <w:rFonts w:cs="Arial"/>
                <w:color w:val="000000"/>
                <w:sz w:val="18"/>
                <w:szCs w:val="18"/>
              </w:rPr>
            </w:pPr>
            <w:r w:rsidRPr="00E70F88">
              <w:rPr>
                <w:rFonts w:cs="Arial"/>
                <w:color w:val="000000"/>
                <w:sz w:val="18"/>
                <w:szCs w:val="18"/>
              </w:rPr>
              <w:t>12,8</w:t>
            </w:r>
          </w:p>
        </w:tc>
        <w:tc>
          <w:tcPr>
            <w:tcW w:w="970" w:type="dxa"/>
            <w:tcBorders>
              <w:top w:val="nil"/>
              <w:left w:val="single" w:sz="2" w:space="0" w:color="000000"/>
              <w:bottom w:val="nil"/>
              <w:right w:val="single" w:sz="2" w:space="0" w:color="000000"/>
            </w:tcBorders>
            <w:shd w:val="clear" w:color="000000" w:fill="FFFFFF"/>
            <w:vAlign w:val="center"/>
          </w:tcPr>
          <w:p w14:paraId="154D25EE" w14:textId="77777777" w:rsidR="001676E4" w:rsidRPr="00E70F88" w:rsidRDefault="001676E4" w:rsidP="003D66E5">
            <w:pPr>
              <w:jc w:val="right"/>
              <w:rPr>
                <w:rFonts w:cs="Arial"/>
                <w:color w:val="000000"/>
                <w:sz w:val="18"/>
                <w:szCs w:val="18"/>
              </w:rPr>
            </w:pPr>
            <w:r w:rsidRPr="00E70F88">
              <w:rPr>
                <w:rFonts w:cs="Arial"/>
                <w:color w:val="000000"/>
                <w:sz w:val="18"/>
                <w:szCs w:val="18"/>
              </w:rPr>
              <w:t>28,2</w:t>
            </w:r>
          </w:p>
        </w:tc>
        <w:tc>
          <w:tcPr>
            <w:tcW w:w="1073" w:type="dxa"/>
            <w:tcBorders>
              <w:top w:val="nil"/>
              <w:left w:val="single" w:sz="2" w:space="0" w:color="000000"/>
              <w:bottom w:val="nil"/>
              <w:right w:val="single" w:sz="12" w:space="0" w:color="000000"/>
            </w:tcBorders>
            <w:shd w:val="clear" w:color="000000" w:fill="FFFFFF"/>
            <w:vAlign w:val="center"/>
          </w:tcPr>
          <w:p w14:paraId="4BB4CE90" w14:textId="77777777" w:rsidR="001676E4" w:rsidRPr="00E70F88" w:rsidRDefault="001676E4" w:rsidP="003D66E5">
            <w:pPr>
              <w:jc w:val="right"/>
              <w:rPr>
                <w:rFonts w:cs="Arial"/>
                <w:color w:val="000000"/>
                <w:sz w:val="18"/>
                <w:szCs w:val="18"/>
              </w:rPr>
            </w:pPr>
            <w:r w:rsidRPr="00E70F88">
              <w:rPr>
                <w:rFonts w:cs="Arial"/>
                <w:color w:val="000000"/>
                <w:sz w:val="18"/>
                <w:szCs w:val="18"/>
              </w:rPr>
              <w:t>50,8</w:t>
            </w:r>
          </w:p>
        </w:tc>
      </w:tr>
      <w:tr w:rsidR="001676E4" w:rsidRPr="00E70F88" w14:paraId="554AE17C" w14:textId="77777777" w:rsidTr="003D66E5">
        <w:trPr>
          <w:cantSplit/>
          <w:trHeight w:val="738"/>
        </w:trPr>
        <w:tc>
          <w:tcPr>
            <w:tcW w:w="1418" w:type="dxa"/>
            <w:vMerge/>
            <w:tcBorders>
              <w:left w:val="single" w:sz="12" w:space="0" w:color="000000"/>
              <w:bottom w:val="single" w:sz="12" w:space="0" w:color="auto"/>
              <w:right w:val="single" w:sz="4" w:space="0" w:color="000000"/>
            </w:tcBorders>
            <w:shd w:val="clear" w:color="000000" w:fill="FFFFFF"/>
          </w:tcPr>
          <w:p w14:paraId="314225DC" w14:textId="77777777" w:rsidR="001676E4" w:rsidRPr="00E70F88"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single" w:sz="12" w:space="0" w:color="auto"/>
              <w:right w:val="single" w:sz="12" w:space="0" w:color="000000"/>
            </w:tcBorders>
            <w:shd w:val="clear" w:color="000000" w:fill="FFFFFF"/>
            <w:vAlign w:val="center"/>
          </w:tcPr>
          <w:p w14:paraId="51B33546"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rodziców, że spędza się za dużo czasu na graniu</w:t>
            </w:r>
          </w:p>
        </w:tc>
        <w:tc>
          <w:tcPr>
            <w:tcW w:w="1134" w:type="dxa"/>
            <w:tcBorders>
              <w:top w:val="nil"/>
              <w:left w:val="single" w:sz="12" w:space="0" w:color="000000"/>
              <w:bottom w:val="single" w:sz="12" w:space="0" w:color="auto"/>
              <w:right w:val="single" w:sz="2" w:space="0" w:color="000000"/>
            </w:tcBorders>
            <w:shd w:val="clear" w:color="000000" w:fill="FFFFFF"/>
            <w:vAlign w:val="center"/>
          </w:tcPr>
          <w:p w14:paraId="630F9BCA" w14:textId="77777777" w:rsidR="001676E4" w:rsidRPr="00E70F88" w:rsidRDefault="001676E4" w:rsidP="003D66E5">
            <w:pPr>
              <w:jc w:val="right"/>
              <w:rPr>
                <w:rFonts w:cs="Arial"/>
                <w:color w:val="000000"/>
                <w:sz w:val="18"/>
                <w:szCs w:val="18"/>
              </w:rPr>
            </w:pPr>
            <w:r w:rsidRPr="00E70F88">
              <w:rPr>
                <w:rFonts w:cs="Arial"/>
                <w:color w:val="000000"/>
                <w:sz w:val="18"/>
                <w:szCs w:val="18"/>
              </w:rPr>
              <w:t>9,7</w:t>
            </w:r>
          </w:p>
        </w:tc>
        <w:tc>
          <w:tcPr>
            <w:tcW w:w="992" w:type="dxa"/>
            <w:tcBorders>
              <w:top w:val="nil"/>
              <w:left w:val="single" w:sz="2" w:space="0" w:color="000000"/>
              <w:bottom w:val="single" w:sz="12" w:space="0" w:color="auto"/>
              <w:right w:val="single" w:sz="2" w:space="0" w:color="000000"/>
            </w:tcBorders>
            <w:shd w:val="clear" w:color="000000" w:fill="FFFFFF"/>
            <w:vAlign w:val="center"/>
          </w:tcPr>
          <w:p w14:paraId="68D87AA8" w14:textId="77777777" w:rsidR="001676E4" w:rsidRPr="00E70F88" w:rsidRDefault="001676E4" w:rsidP="003D66E5">
            <w:pPr>
              <w:jc w:val="right"/>
              <w:rPr>
                <w:rFonts w:cs="Arial"/>
                <w:color w:val="000000"/>
                <w:sz w:val="18"/>
                <w:szCs w:val="18"/>
              </w:rPr>
            </w:pPr>
            <w:r w:rsidRPr="00E70F88">
              <w:rPr>
                <w:rFonts w:cs="Arial"/>
                <w:color w:val="000000"/>
                <w:sz w:val="18"/>
                <w:szCs w:val="18"/>
              </w:rPr>
              <w:t>12,6</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53E67CE9" w14:textId="77777777" w:rsidR="001676E4" w:rsidRPr="00E70F88" w:rsidRDefault="001676E4" w:rsidP="003D66E5">
            <w:pPr>
              <w:jc w:val="right"/>
              <w:rPr>
                <w:rFonts w:cs="Arial"/>
                <w:color w:val="000000"/>
                <w:sz w:val="18"/>
                <w:szCs w:val="18"/>
              </w:rPr>
            </w:pPr>
            <w:r w:rsidRPr="00E70F88">
              <w:rPr>
                <w:rFonts w:cs="Arial"/>
                <w:color w:val="000000"/>
                <w:sz w:val="18"/>
                <w:szCs w:val="18"/>
              </w:rPr>
              <w:t>13,8</w:t>
            </w:r>
          </w:p>
        </w:tc>
        <w:tc>
          <w:tcPr>
            <w:tcW w:w="970" w:type="dxa"/>
            <w:tcBorders>
              <w:top w:val="nil"/>
              <w:left w:val="single" w:sz="2" w:space="0" w:color="000000"/>
              <w:bottom w:val="single" w:sz="12" w:space="0" w:color="auto"/>
              <w:right w:val="single" w:sz="2" w:space="0" w:color="000000"/>
            </w:tcBorders>
            <w:shd w:val="clear" w:color="000000" w:fill="FFFFFF"/>
            <w:vAlign w:val="center"/>
          </w:tcPr>
          <w:p w14:paraId="4C52D67A" w14:textId="77777777" w:rsidR="001676E4" w:rsidRPr="00E70F88" w:rsidRDefault="001676E4" w:rsidP="003D66E5">
            <w:pPr>
              <w:jc w:val="right"/>
              <w:rPr>
                <w:rFonts w:cs="Arial"/>
                <w:color w:val="000000"/>
                <w:sz w:val="18"/>
                <w:szCs w:val="18"/>
              </w:rPr>
            </w:pPr>
            <w:r w:rsidRPr="00E70F88">
              <w:rPr>
                <w:rFonts w:cs="Arial"/>
                <w:color w:val="000000"/>
                <w:sz w:val="18"/>
                <w:szCs w:val="18"/>
              </w:rPr>
              <w:t>22,5</w:t>
            </w:r>
          </w:p>
        </w:tc>
        <w:tc>
          <w:tcPr>
            <w:tcW w:w="1073" w:type="dxa"/>
            <w:tcBorders>
              <w:top w:val="nil"/>
              <w:left w:val="single" w:sz="2" w:space="0" w:color="000000"/>
              <w:bottom w:val="single" w:sz="12" w:space="0" w:color="auto"/>
              <w:right w:val="single" w:sz="12" w:space="0" w:color="000000"/>
            </w:tcBorders>
            <w:shd w:val="clear" w:color="000000" w:fill="FFFFFF"/>
            <w:vAlign w:val="center"/>
          </w:tcPr>
          <w:p w14:paraId="20FAEC60" w14:textId="77777777" w:rsidR="001676E4" w:rsidRPr="00E70F88" w:rsidRDefault="001676E4" w:rsidP="003D66E5">
            <w:pPr>
              <w:jc w:val="right"/>
              <w:rPr>
                <w:rFonts w:cs="Arial"/>
                <w:color w:val="000000"/>
                <w:sz w:val="18"/>
                <w:szCs w:val="18"/>
              </w:rPr>
            </w:pPr>
            <w:r w:rsidRPr="00E70F88">
              <w:rPr>
                <w:rFonts w:cs="Arial"/>
                <w:color w:val="000000"/>
                <w:sz w:val="18"/>
                <w:szCs w:val="18"/>
              </w:rPr>
              <w:t>41,5</w:t>
            </w:r>
          </w:p>
        </w:tc>
      </w:tr>
      <w:tr w:rsidR="001676E4" w:rsidRPr="00E70F88" w14:paraId="012F61ED" w14:textId="77777777" w:rsidTr="003D66E5">
        <w:trPr>
          <w:cantSplit/>
          <w:trHeight w:val="738"/>
        </w:trPr>
        <w:tc>
          <w:tcPr>
            <w:tcW w:w="1418" w:type="dxa"/>
            <w:vMerge w:val="restart"/>
            <w:tcBorders>
              <w:top w:val="single" w:sz="12" w:space="0" w:color="auto"/>
              <w:left w:val="single" w:sz="12" w:space="0" w:color="000000"/>
              <w:right w:val="single" w:sz="4" w:space="0" w:color="000000"/>
            </w:tcBorders>
            <w:shd w:val="clear" w:color="000000" w:fill="FFFFFF"/>
          </w:tcPr>
          <w:p w14:paraId="34B93E3F"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Starsza kohorta (17-18 lat)</w:t>
            </w:r>
          </w:p>
          <w:p w14:paraId="4195B574" w14:textId="77777777" w:rsidR="001676E4" w:rsidRPr="00E70F88" w:rsidRDefault="001676E4" w:rsidP="003D66E5">
            <w:pPr>
              <w:widowControl w:val="0"/>
              <w:autoSpaceDE w:val="0"/>
              <w:autoSpaceDN w:val="0"/>
              <w:adjustRightInd w:val="0"/>
              <w:rPr>
                <w:rFonts w:cs="Arial"/>
                <w:color w:val="000000"/>
                <w:sz w:val="18"/>
                <w:szCs w:val="18"/>
              </w:rPr>
            </w:pPr>
          </w:p>
          <w:p w14:paraId="275EF052"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 xml:space="preserve"> </w:t>
            </w:r>
          </w:p>
        </w:tc>
        <w:tc>
          <w:tcPr>
            <w:tcW w:w="2977" w:type="dxa"/>
            <w:tcBorders>
              <w:top w:val="single" w:sz="12" w:space="0" w:color="auto"/>
              <w:left w:val="single" w:sz="4" w:space="0" w:color="000000"/>
              <w:bottom w:val="nil"/>
              <w:right w:val="single" w:sz="12" w:space="0" w:color="000000"/>
            </w:tcBorders>
            <w:shd w:val="clear" w:color="000000" w:fill="FFFFFF"/>
            <w:vAlign w:val="center"/>
          </w:tcPr>
          <w:p w14:paraId="003630B7"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że spędza się za dużo czasu na graniu</w:t>
            </w:r>
          </w:p>
        </w:tc>
        <w:tc>
          <w:tcPr>
            <w:tcW w:w="1134" w:type="dxa"/>
            <w:tcBorders>
              <w:top w:val="single" w:sz="12" w:space="0" w:color="auto"/>
              <w:left w:val="single" w:sz="12" w:space="0" w:color="000000"/>
              <w:bottom w:val="nil"/>
              <w:right w:val="single" w:sz="2" w:space="0" w:color="000000"/>
            </w:tcBorders>
            <w:shd w:val="clear" w:color="000000" w:fill="FFFFFF"/>
            <w:vAlign w:val="center"/>
          </w:tcPr>
          <w:p w14:paraId="39F7956D" w14:textId="77777777" w:rsidR="001676E4" w:rsidRPr="00E70F88" w:rsidRDefault="001676E4" w:rsidP="003D66E5">
            <w:pPr>
              <w:jc w:val="right"/>
              <w:rPr>
                <w:rFonts w:cs="Arial"/>
                <w:color w:val="000000"/>
                <w:sz w:val="18"/>
                <w:szCs w:val="18"/>
              </w:rPr>
            </w:pPr>
            <w:r w:rsidRPr="00E70F88">
              <w:rPr>
                <w:rFonts w:cs="Arial"/>
                <w:color w:val="000000"/>
                <w:sz w:val="18"/>
                <w:szCs w:val="18"/>
              </w:rPr>
              <w:t>6,5</w:t>
            </w:r>
          </w:p>
        </w:tc>
        <w:tc>
          <w:tcPr>
            <w:tcW w:w="992" w:type="dxa"/>
            <w:tcBorders>
              <w:top w:val="single" w:sz="12" w:space="0" w:color="auto"/>
              <w:left w:val="single" w:sz="2" w:space="0" w:color="000000"/>
              <w:bottom w:val="nil"/>
              <w:right w:val="single" w:sz="2" w:space="0" w:color="000000"/>
            </w:tcBorders>
            <w:shd w:val="clear" w:color="000000" w:fill="FFFFFF"/>
            <w:vAlign w:val="center"/>
          </w:tcPr>
          <w:p w14:paraId="6A2C523C" w14:textId="77777777" w:rsidR="001676E4" w:rsidRPr="00E70F88" w:rsidRDefault="001676E4" w:rsidP="003D66E5">
            <w:pPr>
              <w:jc w:val="right"/>
              <w:rPr>
                <w:rFonts w:cs="Arial"/>
                <w:color w:val="000000"/>
                <w:sz w:val="18"/>
                <w:szCs w:val="18"/>
              </w:rPr>
            </w:pPr>
            <w:r w:rsidRPr="00E70F88">
              <w:rPr>
                <w:rFonts w:cs="Arial"/>
                <w:color w:val="000000"/>
                <w:sz w:val="18"/>
                <w:szCs w:val="18"/>
              </w:rPr>
              <w:t>10,3</w:t>
            </w:r>
          </w:p>
        </w:tc>
        <w:tc>
          <w:tcPr>
            <w:tcW w:w="1134" w:type="dxa"/>
            <w:tcBorders>
              <w:top w:val="single" w:sz="12" w:space="0" w:color="auto"/>
              <w:left w:val="single" w:sz="2" w:space="0" w:color="000000"/>
              <w:bottom w:val="nil"/>
              <w:right w:val="single" w:sz="2" w:space="0" w:color="000000"/>
            </w:tcBorders>
            <w:shd w:val="clear" w:color="000000" w:fill="FFFFFF"/>
            <w:vAlign w:val="center"/>
          </w:tcPr>
          <w:p w14:paraId="415BB5A4" w14:textId="77777777" w:rsidR="001676E4" w:rsidRPr="00E70F88" w:rsidRDefault="001676E4" w:rsidP="003D66E5">
            <w:pPr>
              <w:jc w:val="right"/>
              <w:rPr>
                <w:rFonts w:cs="Arial"/>
                <w:color w:val="000000"/>
                <w:sz w:val="18"/>
                <w:szCs w:val="18"/>
              </w:rPr>
            </w:pPr>
            <w:r w:rsidRPr="00E70F88">
              <w:rPr>
                <w:rFonts w:cs="Arial"/>
                <w:color w:val="000000"/>
                <w:sz w:val="18"/>
                <w:szCs w:val="18"/>
              </w:rPr>
              <w:t>15,0</w:t>
            </w:r>
          </w:p>
        </w:tc>
        <w:tc>
          <w:tcPr>
            <w:tcW w:w="970" w:type="dxa"/>
            <w:tcBorders>
              <w:top w:val="single" w:sz="12" w:space="0" w:color="auto"/>
              <w:left w:val="single" w:sz="2" w:space="0" w:color="000000"/>
              <w:bottom w:val="nil"/>
              <w:right w:val="single" w:sz="2" w:space="0" w:color="000000"/>
            </w:tcBorders>
            <w:shd w:val="clear" w:color="000000" w:fill="FFFFFF"/>
            <w:vAlign w:val="center"/>
          </w:tcPr>
          <w:p w14:paraId="7654395B" w14:textId="77777777" w:rsidR="001676E4" w:rsidRPr="00E70F88" w:rsidRDefault="001676E4" w:rsidP="003D66E5">
            <w:pPr>
              <w:jc w:val="right"/>
              <w:rPr>
                <w:rFonts w:cs="Arial"/>
                <w:color w:val="000000"/>
                <w:sz w:val="18"/>
                <w:szCs w:val="18"/>
              </w:rPr>
            </w:pPr>
            <w:r w:rsidRPr="00E70F88">
              <w:rPr>
                <w:rFonts w:cs="Arial"/>
                <w:color w:val="000000"/>
                <w:sz w:val="18"/>
                <w:szCs w:val="18"/>
              </w:rPr>
              <w:t>23,3</w:t>
            </w:r>
          </w:p>
        </w:tc>
        <w:tc>
          <w:tcPr>
            <w:tcW w:w="1073" w:type="dxa"/>
            <w:tcBorders>
              <w:top w:val="single" w:sz="12" w:space="0" w:color="auto"/>
              <w:left w:val="single" w:sz="2" w:space="0" w:color="000000"/>
              <w:bottom w:val="nil"/>
              <w:right w:val="single" w:sz="12" w:space="0" w:color="000000"/>
            </w:tcBorders>
            <w:shd w:val="clear" w:color="000000" w:fill="FFFFFF"/>
            <w:vAlign w:val="center"/>
          </w:tcPr>
          <w:p w14:paraId="18293DAA" w14:textId="77777777" w:rsidR="001676E4" w:rsidRPr="00E70F88" w:rsidRDefault="001676E4" w:rsidP="003D66E5">
            <w:pPr>
              <w:jc w:val="right"/>
              <w:rPr>
                <w:rFonts w:cs="Arial"/>
                <w:color w:val="000000"/>
                <w:sz w:val="18"/>
                <w:szCs w:val="18"/>
              </w:rPr>
            </w:pPr>
            <w:r w:rsidRPr="00E70F88">
              <w:rPr>
                <w:rFonts w:cs="Arial"/>
                <w:color w:val="000000"/>
                <w:sz w:val="18"/>
                <w:szCs w:val="18"/>
              </w:rPr>
              <w:t>44,9</w:t>
            </w:r>
          </w:p>
        </w:tc>
      </w:tr>
      <w:tr w:rsidR="001676E4" w:rsidRPr="00E70F88" w14:paraId="21AC3272" w14:textId="77777777" w:rsidTr="003D66E5">
        <w:trPr>
          <w:cantSplit/>
          <w:trHeight w:val="738"/>
        </w:trPr>
        <w:tc>
          <w:tcPr>
            <w:tcW w:w="1418" w:type="dxa"/>
            <w:vMerge/>
            <w:tcBorders>
              <w:left w:val="single" w:sz="12" w:space="0" w:color="000000"/>
              <w:right w:val="single" w:sz="4" w:space="0" w:color="000000"/>
            </w:tcBorders>
            <w:shd w:val="clear" w:color="000000" w:fill="FFFFFF"/>
          </w:tcPr>
          <w:p w14:paraId="11CC794C" w14:textId="77777777" w:rsidR="001676E4" w:rsidRPr="00E70F88"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nil"/>
              <w:right w:val="single" w:sz="12" w:space="0" w:color="000000"/>
            </w:tcBorders>
            <w:shd w:val="clear" w:color="000000" w:fill="FFFFFF"/>
            <w:vAlign w:val="center"/>
          </w:tcPr>
          <w:p w14:paraId="6C5614ED"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Zły humor jeśli brak możliwości grania</w:t>
            </w:r>
          </w:p>
        </w:tc>
        <w:tc>
          <w:tcPr>
            <w:tcW w:w="1134" w:type="dxa"/>
            <w:tcBorders>
              <w:top w:val="nil"/>
              <w:left w:val="single" w:sz="12" w:space="0" w:color="000000"/>
              <w:bottom w:val="nil"/>
              <w:right w:val="single" w:sz="2" w:space="0" w:color="000000"/>
            </w:tcBorders>
            <w:shd w:val="clear" w:color="000000" w:fill="FFFFFF"/>
            <w:vAlign w:val="center"/>
          </w:tcPr>
          <w:p w14:paraId="3D6DB5E8" w14:textId="77777777" w:rsidR="001676E4" w:rsidRPr="00E70F88" w:rsidRDefault="001676E4" w:rsidP="003D66E5">
            <w:pPr>
              <w:jc w:val="right"/>
              <w:rPr>
                <w:rFonts w:cs="Arial"/>
                <w:color w:val="000000"/>
                <w:sz w:val="18"/>
                <w:szCs w:val="18"/>
              </w:rPr>
            </w:pPr>
            <w:r w:rsidRPr="00E70F88">
              <w:rPr>
                <w:rFonts w:cs="Arial"/>
                <w:color w:val="000000"/>
                <w:sz w:val="18"/>
                <w:szCs w:val="18"/>
              </w:rPr>
              <w:t>2,4</w:t>
            </w:r>
          </w:p>
        </w:tc>
        <w:tc>
          <w:tcPr>
            <w:tcW w:w="992" w:type="dxa"/>
            <w:tcBorders>
              <w:top w:val="nil"/>
              <w:left w:val="single" w:sz="2" w:space="0" w:color="000000"/>
              <w:bottom w:val="nil"/>
              <w:right w:val="single" w:sz="2" w:space="0" w:color="000000"/>
            </w:tcBorders>
            <w:shd w:val="clear" w:color="000000" w:fill="FFFFFF"/>
            <w:vAlign w:val="center"/>
          </w:tcPr>
          <w:p w14:paraId="34E8536F" w14:textId="77777777" w:rsidR="001676E4" w:rsidRPr="00E70F88" w:rsidRDefault="001676E4" w:rsidP="003D66E5">
            <w:pPr>
              <w:jc w:val="right"/>
              <w:rPr>
                <w:rFonts w:cs="Arial"/>
                <w:color w:val="000000"/>
                <w:sz w:val="18"/>
                <w:szCs w:val="18"/>
              </w:rPr>
            </w:pPr>
            <w:r w:rsidRPr="00E70F88">
              <w:rPr>
                <w:rFonts w:cs="Arial"/>
                <w:color w:val="000000"/>
                <w:sz w:val="18"/>
                <w:szCs w:val="18"/>
              </w:rPr>
              <w:t>4,3</w:t>
            </w:r>
          </w:p>
        </w:tc>
        <w:tc>
          <w:tcPr>
            <w:tcW w:w="1134" w:type="dxa"/>
            <w:tcBorders>
              <w:top w:val="nil"/>
              <w:left w:val="single" w:sz="2" w:space="0" w:color="000000"/>
              <w:bottom w:val="nil"/>
              <w:right w:val="single" w:sz="2" w:space="0" w:color="000000"/>
            </w:tcBorders>
            <w:shd w:val="clear" w:color="000000" w:fill="FFFFFF"/>
            <w:vAlign w:val="center"/>
          </w:tcPr>
          <w:p w14:paraId="4FD58E1C" w14:textId="77777777" w:rsidR="001676E4" w:rsidRPr="00E70F88" w:rsidRDefault="001676E4" w:rsidP="003D66E5">
            <w:pPr>
              <w:jc w:val="right"/>
              <w:rPr>
                <w:rFonts w:cs="Arial"/>
                <w:color w:val="000000"/>
                <w:sz w:val="18"/>
                <w:szCs w:val="18"/>
              </w:rPr>
            </w:pPr>
            <w:r w:rsidRPr="00E70F88">
              <w:rPr>
                <w:rFonts w:cs="Arial"/>
                <w:color w:val="000000"/>
                <w:sz w:val="18"/>
                <w:szCs w:val="18"/>
              </w:rPr>
              <w:t>9,7</w:t>
            </w:r>
          </w:p>
        </w:tc>
        <w:tc>
          <w:tcPr>
            <w:tcW w:w="970" w:type="dxa"/>
            <w:tcBorders>
              <w:top w:val="nil"/>
              <w:left w:val="single" w:sz="2" w:space="0" w:color="000000"/>
              <w:bottom w:val="nil"/>
              <w:right w:val="single" w:sz="2" w:space="0" w:color="000000"/>
            </w:tcBorders>
            <w:shd w:val="clear" w:color="000000" w:fill="FFFFFF"/>
            <w:vAlign w:val="center"/>
          </w:tcPr>
          <w:p w14:paraId="4EB99845" w14:textId="77777777" w:rsidR="001676E4" w:rsidRPr="00E70F88" w:rsidRDefault="001676E4" w:rsidP="003D66E5">
            <w:pPr>
              <w:jc w:val="right"/>
              <w:rPr>
                <w:rFonts w:cs="Arial"/>
                <w:color w:val="000000"/>
                <w:sz w:val="18"/>
                <w:szCs w:val="18"/>
              </w:rPr>
            </w:pPr>
            <w:r w:rsidRPr="00E70F88">
              <w:rPr>
                <w:rFonts w:cs="Arial"/>
                <w:color w:val="000000"/>
                <w:sz w:val="18"/>
                <w:szCs w:val="18"/>
              </w:rPr>
              <w:t>22,3</w:t>
            </w:r>
          </w:p>
        </w:tc>
        <w:tc>
          <w:tcPr>
            <w:tcW w:w="1073" w:type="dxa"/>
            <w:tcBorders>
              <w:top w:val="nil"/>
              <w:left w:val="single" w:sz="2" w:space="0" w:color="000000"/>
              <w:bottom w:val="nil"/>
              <w:right w:val="single" w:sz="12" w:space="0" w:color="000000"/>
            </w:tcBorders>
            <w:shd w:val="clear" w:color="000000" w:fill="FFFFFF"/>
            <w:vAlign w:val="center"/>
          </w:tcPr>
          <w:p w14:paraId="41136F93" w14:textId="77777777" w:rsidR="001676E4" w:rsidRPr="00E70F88" w:rsidRDefault="001676E4" w:rsidP="003D66E5">
            <w:pPr>
              <w:jc w:val="right"/>
              <w:rPr>
                <w:rFonts w:cs="Arial"/>
                <w:color w:val="000000"/>
                <w:sz w:val="18"/>
                <w:szCs w:val="18"/>
              </w:rPr>
            </w:pPr>
            <w:r w:rsidRPr="00E70F88">
              <w:rPr>
                <w:rFonts w:cs="Arial"/>
                <w:color w:val="000000"/>
                <w:sz w:val="18"/>
                <w:szCs w:val="18"/>
              </w:rPr>
              <w:t>61,2</w:t>
            </w:r>
          </w:p>
        </w:tc>
      </w:tr>
      <w:tr w:rsidR="001676E4" w:rsidRPr="00E70F88" w14:paraId="4A474424" w14:textId="77777777" w:rsidTr="003D66E5">
        <w:trPr>
          <w:cantSplit/>
          <w:trHeight w:val="738"/>
        </w:trPr>
        <w:tc>
          <w:tcPr>
            <w:tcW w:w="1418" w:type="dxa"/>
            <w:vMerge/>
            <w:tcBorders>
              <w:left w:val="single" w:sz="12" w:space="0" w:color="000000"/>
              <w:bottom w:val="single" w:sz="12" w:space="0" w:color="000000"/>
              <w:right w:val="single" w:sz="4" w:space="0" w:color="000000"/>
            </w:tcBorders>
            <w:shd w:val="clear" w:color="000000" w:fill="FFFFFF"/>
          </w:tcPr>
          <w:p w14:paraId="6618034C" w14:textId="77777777" w:rsidR="001676E4" w:rsidRPr="00E70F88" w:rsidRDefault="001676E4" w:rsidP="003D66E5">
            <w:pPr>
              <w:widowControl w:val="0"/>
              <w:autoSpaceDE w:val="0"/>
              <w:autoSpaceDN w:val="0"/>
              <w:adjustRightInd w:val="0"/>
              <w:rPr>
                <w:rFonts w:cs="Arial"/>
                <w:color w:val="000000"/>
                <w:sz w:val="18"/>
                <w:szCs w:val="18"/>
              </w:rPr>
            </w:pPr>
          </w:p>
        </w:tc>
        <w:tc>
          <w:tcPr>
            <w:tcW w:w="2977" w:type="dxa"/>
            <w:tcBorders>
              <w:top w:val="nil"/>
              <w:left w:val="single" w:sz="4" w:space="0" w:color="000000"/>
              <w:bottom w:val="single" w:sz="12" w:space="0" w:color="auto"/>
              <w:right w:val="single" w:sz="12" w:space="0" w:color="000000"/>
            </w:tcBorders>
            <w:shd w:val="clear" w:color="000000" w:fill="FFFFFF"/>
            <w:vAlign w:val="center"/>
          </w:tcPr>
          <w:p w14:paraId="42436A2E" w14:textId="77777777" w:rsidR="001676E4" w:rsidRPr="00E70F88" w:rsidRDefault="001676E4" w:rsidP="003D66E5">
            <w:pPr>
              <w:widowControl w:val="0"/>
              <w:autoSpaceDE w:val="0"/>
              <w:autoSpaceDN w:val="0"/>
              <w:adjustRightInd w:val="0"/>
              <w:rPr>
                <w:rFonts w:cs="Arial"/>
                <w:color w:val="000000"/>
                <w:sz w:val="18"/>
                <w:szCs w:val="18"/>
              </w:rPr>
            </w:pPr>
            <w:r w:rsidRPr="00E70F88">
              <w:rPr>
                <w:rFonts w:cs="Arial"/>
                <w:color w:val="000000"/>
                <w:sz w:val="18"/>
                <w:szCs w:val="18"/>
              </w:rPr>
              <w:t>Przekonanie rodziców, że spędza się za dużo czasu na graniu</w:t>
            </w:r>
          </w:p>
        </w:tc>
        <w:tc>
          <w:tcPr>
            <w:tcW w:w="1134" w:type="dxa"/>
            <w:tcBorders>
              <w:top w:val="nil"/>
              <w:left w:val="single" w:sz="12" w:space="0" w:color="000000"/>
              <w:bottom w:val="single" w:sz="12" w:space="0" w:color="auto"/>
              <w:right w:val="single" w:sz="2" w:space="0" w:color="000000"/>
            </w:tcBorders>
            <w:shd w:val="clear" w:color="000000" w:fill="FFFFFF"/>
            <w:vAlign w:val="center"/>
          </w:tcPr>
          <w:p w14:paraId="2F4D2BF2" w14:textId="77777777" w:rsidR="001676E4" w:rsidRPr="00E70F88" w:rsidRDefault="001676E4" w:rsidP="003D66E5">
            <w:pPr>
              <w:jc w:val="right"/>
              <w:rPr>
                <w:rFonts w:cs="Arial"/>
                <w:color w:val="000000"/>
                <w:sz w:val="18"/>
                <w:szCs w:val="18"/>
              </w:rPr>
            </w:pPr>
            <w:r w:rsidRPr="00E70F88">
              <w:rPr>
                <w:rFonts w:cs="Arial"/>
                <w:color w:val="000000"/>
                <w:sz w:val="18"/>
                <w:szCs w:val="18"/>
              </w:rPr>
              <w:t>7,0</w:t>
            </w:r>
          </w:p>
        </w:tc>
        <w:tc>
          <w:tcPr>
            <w:tcW w:w="992" w:type="dxa"/>
            <w:tcBorders>
              <w:top w:val="nil"/>
              <w:left w:val="single" w:sz="2" w:space="0" w:color="000000"/>
              <w:bottom w:val="single" w:sz="12" w:space="0" w:color="auto"/>
              <w:right w:val="single" w:sz="2" w:space="0" w:color="000000"/>
            </w:tcBorders>
            <w:shd w:val="clear" w:color="000000" w:fill="FFFFFF"/>
            <w:vAlign w:val="center"/>
          </w:tcPr>
          <w:p w14:paraId="3E9BB676" w14:textId="77777777" w:rsidR="001676E4" w:rsidRPr="00E70F88" w:rsidRDefault="001676E4" w:rsidP="003D66E5">
            <w:pPr>
              <w:jc w:val="right"/>
              <w:rPr>
                <w:rFonts w:cs="Arial"/>
                <w:color w:val="000000"/>
                <w:sz w:val="18"/>
                <w:szCs w:val="18"/>
              </w:rPr>
            </w:pPr>
            <w:r w:rsidRPr="00E70F88">
              <w:rPr>
                <w:rFonts w:cs="Arial"/>
                <w:color w:val="000000"/>
                <w:sz w:val="18"/>
                <w:szCs w:val="18"/>
              </w:rPr>
              <w:t>9,2</w:t>
            </w:r>
          </w:p>
        </w:tc>
        <w:tc>
          <w:tcPr>
            <w:tcW w:w="1134" w:type="dxa"/>
            <w:tcBorders>
              <w:top w:val="nil"/>
              <w:left w:val="single" w:sz="2" w:space="0" w:color="000000"/>
              <w:bottom w:val="single" w:sz="12" w:space="0" w:color="auto"/>
              <w:right w:val="single" w:sz="2" w:space="0" w:color="000000"/>
            </w:tcBorders>
            <w:shd w:val="clear" w:color="000000" w:fill="FFFFFF"/>
            <w:vAlign w:val="center"/>
          </w:tcPr>
          <w:p w14:paraId="76B394A5" w14:textId="77777777" w:rsidR="001676E4" w:rsidRPr="00E70F88" w:rsidRDefault="001676E4" w:rsidP="003D66E5">
            <w:pPr>
              <w:jc w:val="right"/>
              <w:rPr>
                <w:rFonts w:cs="Arial"/>
                <w:color w:val="000000"/>
                <w:sz w:val="18"/>
                <w:szCs w:val="18"/>
              </w:rPr>
            </w:pPr>
            <w:r w:rsidRPr="00E70F88">
              <w:rPr>
                <w:rFonts w:cs="Arial"/>
                <w:color w:val="000000"/>
                <w:sz w:val="18"/>
                <w:szCs w:val="18"/>
              </w:rPr>
              <w:t>9,5</w:t>
            </w:r>
          </w:p>
        </w:tc>
        <w:tc>
          <w:tcPr>
            <w:tcW w:w="970" w:type="dxa"/>
            <w:tcBorders>
              <w:top w:val="nil"/>
              <w:left w:val="single" w:sz="2" w:space="0" w:color="000000"/>
              <w:bottom w:val="single" w:sz="12" w:space="0" w:color="auto"/>
              <w:right w:val="single" w:sz="2" w:space="0" w:color="000000"/>
            </w:tcBorders>
            <w:shd w:val="clear" w:color="000000" w:fill="FFFFFF"/>
            <w:vAlign w:val="center"/>
          </w:tcPr>
          <w:p w14:paraId="625A7E97" w14:textId="77777777" w:rsidR="001676E4" w:rsidRPr="00E70F88" w:rsidRDefault="001676E4" w:rsidP="003D66E5">
            <w:pPr>
              <w:jc w:val="right"/>
              <w:rPr>
                <w:rFonts w:cs="Arial"/>
                <w:color w:val="000000"/>
                <w:sz w:val="18"/>
                <w:szCs w:val="18"/>
              </w:rPr>
            </w:pPr>
            <w:r w:rsidRPr="00E70F88">
              <w:rPr>
                <w:rFonts w:cs="Arial"/>
                <w:color w:val="000000"/>
                <w:sz w:val="18"/>
                <w:szCs w:val="18"/>
              </w:rPr>
              <w:t>19,3</w:t>
            </w:r>
          </w:p>
        </w:tc>
        <w:tc>
          <w:tcPr>
            <w:tcW w:w="1073" w:type="dxa"/>
            <w:tcBorders>
              <w:top w:val="nil"/>
              <w:left w:val="single" w:sz="2" w:space="0" w:color="000000"/>
              <w:bottom w:val="single" w:sz="12" w:space="0" w:color="auto"/>
              <w:right w:val="single" w:sz="12" w:space="0" w:color="000000"/>
            </w:tcBorders>
            <w:shd w:val="clear" w:color="000000" w:fill="FFFFFF"/>
            <w:vAlign w:val="center"/>
          </w:tcPr>
          <w:p w14:paraId="44B7626A" w14:textId="77777777" w:rsidR="001676E4" w:rsidRPr="00E70F88" w:rsidRDefault="001676E4" w:rsidP="003D66E5">
            <w:pPr>
              <w:jc w:val="right"/>
              <w:rPr>
                <w:rFonts w:cs="Arial"/>
                <w:color w:val="000000"/>
                <w:sz w:val="18"/>
                <w:szCs w:val="18"/>
              </w:rPr>
            </w:pPr>
            <w:r w:rsidRPr="00E70F88">
              <w:rPr>
                <w:rFonts w:cs="Arial"/>
                <w:color w:val="000000"/>
                <w:sz w:val="18"/>
                <w:szCs w:val="18"/>
              </w:rPr>
              <w:t>54,9</w:t>
            </w:r>
          </w:p>
        </w:tc>
      </w:tr>
    </w:tbl>
    <w:p w14:paraId="35E1548B"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2B0DE56F" w14:textId="282555DA" w:rsidR="001676E4" w:rsidRPr="00E70F88" w:rsidRDefault="001676E4" w:rsidP="001676E4">
      <w:pPr>
        <w:spacing w:before="240" w:line="360" w:lineRule="auto"/>
        <w:ind w:firstLine="567"/>
        <w:jc w:val="both"/>
        <w:rPr>
          <w:rFonts w:eastAsia="Calibri" w:cs="Arial"/>
          <w:sz w:val="22"/>
          <w:szCs w:val="22"/>
        </w:rPr>
      </w:pPr>
      <w:r w:rsidRPr="00E70F88">
        <w:rPr>
          <w:rFonts w:eastAsia="Calibri" w:cs="Arial"/>
          <w:sz w:val="22"/>
          <w:szCs w:val="22"/>
        </w:rPr>
        <w:t>Badanie ESPAD z 2024 roku dot. województwa lubelskiego wskazuje, że ok. 33% młodszych uczniów korzysta z mediów społecznościowych (takich jak Twitter, Facebook, Instagram czy Skype) około 2-3 godziny dziennie w dni robocze, a ponad 16% poświęca na to 6 godzin lub więcej. W weekend odnotowano wyższe odsetki, tj. – prawie 25% korzysta z</w:t>
      </w:r>
      <w:r>
        <w:rPr>
          <w:rFonts w:eastAsia="Calibri" w:cs="Arial"/>
          <w:sz w:val="22"/>
          <w:szCs w:val="22"/>
        </w:rPr>
        <w:t> </w:t>
      </w:r>
      <w:proofErr w:type="spellStart"/>
      <w:r w:rsidRPr="00E70F88">
        <w:rPr>
          <w:rFonts w:eastAsia="Calibri" w:cs="Arial"/>
          <w:sz w:val="22"/>
          <w:szCs w:val="22"/>
        </w:rPr>
        <w:t>internetu</w:t>
      </w:r>
      <w:proofErr w:type="spellEnd"/>
      <w:r w:rsidRPr="00E70F88">
        <w:rPr>
          <w:rFonts w:eastAsia="Calibri" w:cs="Arial"/>
          <w:sz w:val="22"/>
          <w:szCs w:val="22"/>
        </w:rPr>
        <w:t xml:space="preserve"> 6 godzin lub więcej dziennie. Starsi uczniowie w dzień roboczy poświęcają najczęściej około 2-3 godziny dziennie na korzystanie z mediów społecznościowych (ok. 34%). W weekendy prawie 28% starszych uczniów korzysta z mediów społecznościowych przez około 4-5 godzin dziennie, a 23% przez 6 godzin lub więcej. Poniżej zaprezentowano wyniki w tym zakresie.</w:t>
      </w:r>
    </w:p>
    <w:p w14:paraId="4F278A52" w14:textId="147074D9" w:rsidR="001676E4" w:rsidRPr="00A43860" w:rsidRDefault="001676E4" w:rsidP="001676E4">
      <w:pPr>
        <w:pStyle w:val="Legenda"/>
        <w:keepNext/>
        <w:rPr>
          <w:sz w:val="20"/>
          <w:szCs w:val="16"/>
        </w:rPr>
      </w:pPr>
      <w:bookmarkStart w:id="118" w:name="_Toc214279722"/>
      <w:r w:rsidRPr="00A43860">
        <w:rPr>
          <w:sz w:val="20"/>
          <w:szCs w:val="16"/>
        </w:rPr>
        <w:t xml:space="preserve">Tabela </w:t>
      </w:r>
      <w:r w:rsidRPr="00A43860">
        <w:rPr>
          <w:sz w:val="20"/>
          <w:szCs w:val="16"/>
        </w:rPr>
        <w:fldChar w:fldCharType="begin"/>
      </w:r>
      <w:r w:rsidRPr="00A43860">
        <w:rPr>
          <w:sz w:val="20"/>
          <w:szCs w:val="16"/>
        </w:rPr>
        <w:instrText xml:space="preserve"> SEQ Tabela \* ARABIC </w:instrText>
      </w:r>
      <w:r w:rsidRPr="00A43860">
        <w:rPr>
          <w:sz w:val="20"/>
          <w:szCs w:val="16"/>
        </w:rPr>
        <w:fldChar w:fldCharType="separate"/>
      </w:r>
      <w:r w:rsidR="00CA082D" w:rsidRPr="00A43860">
        <w:rPr>
          <w:noProof/>
          <w:sz w:val="20"/>
          <w:szCs w:val="16"/>
        </w:rPr>
        <w:t>37</w:t>
      </w:r>
      <w:r w:rsidRPr="00A43860">
        <w:rPr>
          <w:sz w:val="20"/>
          <w:szCs w:val="16"/>
        </w:rPr>
        <w:fldChar w:fldCharType="end"/>
      </w:r>
      <w:r w:rsidRPr="00A43860">
        <w:rPr>
          <w:sz w:val="20"/>
          <w:szCs w:val="16"/>
        </w:rPr>
        <w:t>. Czas spędzony w mediach społecznościowych w czasie ostatnich 7 dni poprzedzających badanie przez młodzież z województwa lubelskiego w 2024 r.</w:t>
      </w:r>
      <w:bookmarkEnd w:id="118"/>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30"/>
        <w:gridCol w:w="2565"/>
        <w:gridCol w:w="2397"/>
        <w:gridCol w:w="2280"/>
      </w:tblGrid>
      <w:tr w:rsidR="001676E4" w:rsidRPr="00E70F88" w14:paraId="23117544" w14:textId="77777777" w:rsidTr="003D66E5">
        <w:trPr>
          <w:trHeight w:val="285"/>
          <w:tblHeader/>
        </w:trPr>
        <w:tc>
          <w:tcPr>
            <w:tcW w:w="1830" w:type="dxa"/>
          </w:tcPr>
          <w:p w14:paraId="3AF25211" w14:textId="77777777" w:rsidR="001676E4" w:rsidRPr="00E70F88"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E70F88">
              <w:rPr>
                <w:rFonts w:cs="Arial"/>
                <w:b/>
                <w:bCs/>
                <w:color w:val="000000"/>
                <w:sz w:val="18"/>
                <w:szCs w:val="18"/>
              </w:rPr>
              <w:t>Kohorta</w:t>
            </w:r>
          </w:p>
        </w:tc>
        <w:tc>
          <w:tcPr>
            <w:tcW w:w="2565" w:type="dxa"/>
          </w:tcPr>
          <w:p w14:paraId="7D432DB0" w14:textId="77777777" w:rsidR="001676E4" w:rsidRPr="00E70F88"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E70F88">
              <w:rPr>
                <w:rFonts w:cs="Arial"/>
                <w:b/>
                <w:bCs/>
                <w:sz w:val="18"/>
                <w:szCs w:val="18"/>
              </w:rPr>
              <w:t>Dzień</w:t>
            </w:r>
          </w:p>
        </w:tc>
        <w:tc>
          <w:tcPr>
            <w:tcW w:w="2397" w:type="dxa"/>
          </w:tcPr>
          <w:p w14:paraId="153CBF23" w14:textId="77777777" w:rsidR="001676E4" w:rsidRPr="00E70F88"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E70F88">
              <w:rPr>
                <w:rFonts w:cs="Arial"/>
                <w:b/>
                <w:bCs/>
                <w:sz w:val="18"/>
                <w:szCs w:val="18"/>
              </w:rPr>
              <w:t>Czas korzystania</w:t>
            </w:r>
          </w:p>
        </w:tc>
        <w:tc>
          <w:tcPr>
            <w:tcW w:w="2280" w:type="dxa"/>
          </w:tcPr>
          <w:p w14:paraId="567D617A" w14:textId="77777777" w:rsidR="001676E4" w:rsidRPr="00E70F88" w:rsidRDefault="001676E4" w:rsidP="003D66E5">
            <w:pPr>
              <w:widowControl w:val="0"/>
              <w:tabs>
                <w:tab w:val="center" w:pos="3456"/>
              </w:tabs>
              <w:autoSpaceDE w:val="0"/>
              <w:autoSpaceDN w:val="0"/>
              <w:adjustRightInd w:val="0"/>
              <w:spacing w:after="0" w:line="360" w:lineRule="auto"/>
              <w:jc w:val="center"/>
              <w:rPr>
                <w:rFonts w:cs="Arial"/>
                <w:b/>
                <w:bCs/>
                <w:sz w:val="18"/>
                <w:szCs w:val="18"/>
              </w:rPr>
            </w:pPr>
            <w:r w:rsidRPr="00E70F88">
              <w:rPr>
                <w:rFonts w:cs="Arial"/>
                <w:b/>
                <w:bCs/>
                <w:sz w:val="18"/>
                <w:szCs w:val="18"/>
              </w:rPr>
              <w:t>Osoby (%)</w:t>
            </w:r>
          </w:p>
        </w:tc>
      </w:tr>
      <w:tr w:rsidR="001676E4" w:rsidRPr="00E70F88" w14:paraId="1B08435D" w14:textId="77777777" w:rsidTr="003D66E5">
        <w:tblPrEx>
          <w:tblCellMar>
            <w:left w:w="108" w:type="dxa"/>
            <w:right w:w="108" w:type="dxa"/>
          </w:tblCellMar>
          <w:tblLook w:val="04A0" w:firstRow="1" w:lastRow="0" w:firstColumn="1" w:lastColumn="0" w:noHBand="0" w:noVBand="1"/>
        </w:tblPrEx>
        <w:trPr>
          <w:trHeight w:val="260"/>
        </w:trPr>
        <w:tc>
          <w:tcPr>
            <w:tcW w:w="1830" w:type="dxa"/>
            <w:vMerge w:val="restart"/>
          </w:tcPr>
          <w:p w14:paraId="6FCC736A" w14:textId="77777777" w:rsidR="001676E4" w:rsidRPr="00E70F88" w:rsidRDefault="001676E4" w:rsidP="003D66E5">
            <w:pPr>
              <w:widowControl w:val="0"/>
              <w:autoSpaceDE w:val="0"/>
              <w:autoSpaceDN w:val="0"/>
              <w:adjustRightInd w:val="0"/>
              <w:spacing w:after="0" w:line="240" w:lineRule="auto"/>
              <w:rPr>
                <w:rFonts w:cs="Arial"/>
                <w:b/>
                <w:bCs/>
                <w:color w:val="000000"/>
                <w:sz w:val="18"/>
                <w:szCs w:val="18"/>
              </w:rPr>
            </w:pPr>
            <w:r w:rsidRPr="00E70F88">
              <w:rPr>
                <w:rFonts w:cs="Arial"/>
                <w:b/>
                <w:bCs/>
                <w:color w:val="000000"/>
                <w:sz w:val="18"/>
                <w:szCs w:val="18"/>
              </w:rPr>
              <w:t>Młodsza kohorta (15-16 lat)</w:t>
            </w:r>
          </w:p>
        </w:tc>
        <w:tc>
          <w:tcPr>
            <w:tcW w:w="2565" w:type="dxa"/>
            <w:vMerge w:val="restart"/>
          </w:tcPr>
          <w:p w14:paraId="11748ED0"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r w:rsidRPr="00E70F88">
              <w:rPr>
                <w:rFonts w:cs="Arial"/>
                <w:sz w:val="18"/>
                <w:szCs w:val="18"/>
              </w:rPr>
              <w:t>Typowy dzień roboczy</w:t>
            </w:r>
          </w:p>
        </w:tc>
        <w:tc>
          <w:tcPr>
            <w:tcW w:w="2397" w:type="dxa"/>
          </w:tcPr>
          <w:p w14:paraId="3F978B38"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Nie</w:t>
            </w:r>
          </w:p>
        </w:tc>
        <w:tc>
          <w:tcPr>
            <w:tcW w:w="2280" w:type="dxa"/>
            <w:noWrap/>
            <w:vAlign w:val="center"/>
          </w:tcPr>
          <w:p w14:paraId="33C4AC06"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7,2</w:t>
            </w:r>
          </w:p>
        </w:tc>
      </w:tr>
      <w:tr w:rsidR="001676E4" w:rsidRPr="00E70F88" w14:paraId="379ACE77"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270D10D1"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3B4AE716"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43900392"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Pół godziny lub mniej</w:t>
            </w:r>
          </w:p>
        </w:tc>
        <w:tc>
          <w:tcPr>
            <w:tcW w:w="2280" w:type="dxa"/>
            <w:noWrap/>
            <w:vAlign w:val="center"/>
          </w:tcPr>
          <w:p w14:paraId="06E5C3F2"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10,0</w:t>
            </w:r>
          </w:p>
        </w:tc>
      </w:tr>
      <w:tr w:rsidR="001676E4" w:rsidRPr="00E70F88" w14:paraId="7B9CBA7C"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48EF83DF"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27A2D748"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2D29B3C2"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1 godziny</w:t>
            </w:r>
          </w:p>
        </w:tc>
        <w:tc>
          <w:tcPr>
            <w:tcW w:w="2280" w:type="dxa"/>
            <w:noWrap/>
            <w:vAlign w:val="center"/>
          </w:tcPr>
          <w:p w14:paraId="33E1E1B5"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14,2</w:t>
            </w:r>
          </w:p>
        </w:tc>
      </w:tr>
      <w:tr w:rsidR="001676E4" w:rsidRPr="00E70F88" w14:paraId="5236D757"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46AB302A"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3063A4AF"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79B196DA"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2-3 godzin</w:t>
            </w:r>
          </w:p>
        </w:tc>
        <w:tc>
          <w:tcPr>
            <w:tcW w:w="2280" w:type="dxa"/>
            <w:noWrap/>
            <w:vAlign w:val="center"/>
          </w:tcPr>
          <w:p w14:paraId="2CF51BC3"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33,2</w:t>
            </w:r>
          </w:p>
        </w:tc>
      </w:tr>
      <w:tr w:rsidR="001676E4" w:rsidRPr="00E70F88" w14:paraId="530A9A00"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1CEFF3BB"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3C661F94"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34D65805"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4-5 godzin</w:t>
            </w:r>
          </w:p>
        </w:tc>
        <w:tc>
          <w:tcPr>
            <w:tcW w:w="2280" w:type="dxa"/>
            <w:noWrap/>
            <w:vAlign w:val="center"/>
          </w:tcPr>
          <w:p w14:paraId="1DFB76D5"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19,1</w:t>
            </w:r>
          </w:p>
        </w:tc>
      </w:tr>
      <w:tr w:rsidR="001676E4" w:rsidRPr="00E70F88" w14:paraId="6D000A5B"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58C2DCEC"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46A22B4A"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5663A2C1"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6 godzin lub więcej</w:t>
            </w:r>
          </w:p>
        </w:tc>
        <w:tc>
          <w:tcPr>
            <w:tcW w:w="2280" w:type="dxa"/>
            <w:noWrap/>
            <w:vAlign w:val="center"/>
          </w:tcPr>
          <w:p w14:paraId="47679D08"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16,3</w:t>
            </w:r>
          </w:p>
        </w:tc>
      </w:tr>
      <w:tr w:rsidR="001676E4" w:rsidRPr="00E70F88" w14:paraId="27210146"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359A25B8"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val="restart"/>
          </w:tcPr>
          <w:p w14:paraId="75A5C39B"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r w:rsidRPr="00E70F88">
              <w:rPr>
                <w:rFonts w:cs="Arial"/>
                <w:sz w:val="18"/>
                <w:szCs w:val="18"/>
              </w:rPr>
              <w:t>Typowy dzień weekendowy</w:t>
            </w:r>
          </w:p>
        </w:tc>
        <w:tc>
          <w:tcPr>
            <w:tcW w:w="2397" w:type="dxa"/>
          </w:tcPr>
          <w:p w14:paraId="734E014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Nie</w:t>
            </w:r>
          </w:p>
        </w:tc>
        <w:tc>
          <w:tcPr>
            <w:tcW w:w="2280" w:type="dxa"/>
            <w:noWrap/>
            <w:vAlign w:val="center"/>
          </w:tcPr>
          <w:p w14:paraId="1292DC7A"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6,7</w:t>
            </w:r>
          </w:p>
        </w:tc>
      </w:tr>
      <w:tr w:rsidR="001676E4" w:rsidRPr="00E70F88" w14:paraId="4185390E"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383AA2D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3C84CADF"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4D67A786"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Pół godziny lub mniej</w:t>
            </w:r>
          </w:p>
        </w:tc>
        <w:tc>
          <w:tcPr>
            <w:tcW w:w="2280" w:type="dxa"/>
            <w:noWrap/>
            <w:vAlign w:val="center"/>
          </w:tcPr>
          <w:p w14:paraId="1C92A9B5"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6,7</w:t>
            </w:r>
          </w:p>
        </w:tc>
      </w:tr>
      <w:tr w:rsidR="001676E4" w:rsidRPr="00E70F88" w14:paraId="2A7E178B"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2EEA9FAF"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79FCCEFE"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729DDEFB"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1 godziny</w:t>
            </w:r>
          </w:p>
        </w:tc>
        <w:tc>
          <w:tcPr>
            <w:tcW w:w="2280" w:type="dxa"/>
            <w:noWrap/>
            <w:vAlign w:val="center"/>
          </w:tcPr>
          <w:p w14:paraId="2D803500"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13,1</w:t>
            </w:r>
          </w:p>
        </w:tc>
      </w:tr>
      <w:tr w:rsidR="001676E4" w:rsidRPr="00E70F88" w14:paraId="335F322A"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425A0178"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11F7277F"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51B2F0E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2-3 godzin</w:t>
            </w:r>
          </w:p>
        </w:tc>
        <w:tc>
          <w:tcPr>
            <w:tcW w:w="2280" w:type="dxa"/>
            <w:noWrap/>
            <w:vAlign w:val="center"/>
          </w:tcPr>
          <w:p w14:paraId="58CFB4FD"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24,8</w:t>
            </w:r>
          </w:p>
        </w:tc>
      </w:tr>
      <w:tr w:rsidR="001676E4" w:rsidRPr="00E70F88" w14:paraId="61AB15C0"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66145072"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345F016D"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3BC68E89"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4-5 godzin</w:t>
            </w:r>
          </w:p>
        </w:tc>
        <w:tc>
          <w:tcPr>
            <w:tcW w:w="2280" w:type="dxa"/>
            <w:noWrap/>
            <w:vAlign w:val="center"/>
          </w:tcPr>
          <w:p w14:paraId="4B56F2BD"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23,8</w:t>
            </w:r>
          </w:p>
        </w:tc>
      </w:tr>
      <w:tr w:rsidR="001676E4" w:rsidRPr="00E70F88" w14:paraId="528D9655"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7B6E3F76"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4F859477"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529D8A26"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6 godzin lub więcej</w:t>
            </w:r>
          </w:p>
        </w:tc>
        <w:tc>
          <w:tcPr>
            <w:tcW w:w="2280" w:type="dxa"/>
            <w:noWrap/>
            <w:vAlign w:val="center"/>
          </w:tcPr>
          <w:p w14:paraId="00C9A362"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24,8</w:t>
            </w:r>
          </w:p>
        </w:tc>
      </w:tr>
      <w:tr w:rsidR="001676E4" w:rsidRPr="00E70F88" w14:paraId="69D532AF" w14:textId="77777777" w:rsidTr="003D66E5">
        <w:tblPrEx>
          <w:tblCellMar>
            <w:left w:w="108" w:type="dxa"/>
            <w:right w:w="108" w:type="dxa"/>
          </w:tblCellMar>
          <w:tblLook w:val="04A0" w:firstRow="1" w:lastRow="0" w:firstColumn="1" w:lastColumn="0" w:noHBand="0" w:noVBand="1"/>
        </w:tblPrEx>
        <w:trPr>
          <w:trHeight w:val="260"/>
        </w:trPr>
        <w:tc>
          <w:tcPr>
            <w:tcW w:w="1830" w:type="dxa"/>
            <w:vMerge w:val="restart"/>
          </w:tcPr>
          <w:p w14:paraId="1CCD0968" w14:textId="77777777" w:rsidR="001676E4" w:rsidRPr="00E70F88" w:rsidRDefault="001676E4" w:rsidP="003D66E5">
            <w:pPr>
              <w:widowControl w:val="0"/>
              <w:autoSpaceDE w:val="0"/>
              <w:autoSpaceDN w:val="0"/>
              <w:adjustRightInd w:val="0"/>
              <w:spacing w:after="0" w:line="240" w:lineRule="auto"/>
              <w:rPr>
                <w:rFonts w:cs="Arial"/>
                <w:b/>
                <w:bCs/>
                <w:color w:val="000000"/>
                <w:sz w:val="18"/>
                <w:szCs w:val="18"/>
              </w:rPr>
            </w:pPr>
            <w:r w:rsidRPr="00E70F88">
              <w:rPr>
                <w:rFonts w:cs="Arial"/>
                <w:b/>
                <w:bCs/>
                <w:color w:val="000000"/>
                <w:sz w:val="18"/>
                <w:szCs w:val="18"/>
              </w:rPr>
              <w:t>Starsza kohorta (17-18 lat)</w:t>
            </w:r>
          </w:p>
        </w:tc>
        <w:tc>
          <w:tcPr>
            <w:tcW w:w="2565" w:type="dxa"/>
            <w:vMerge w:val="restart"/>
          </w:tcPr>
          <w:p w14:paraId="00EEA783"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r w:rsidRPr="00E70F88">
              <w:rPr>
                <w:rFonts w:cs="Arial"/>
                <w:sz w:val="18"/>
                <w:szCs w:val="18"/>
              </w:rPr>
              <w:t>Typowy dzień roboczy</w:t>
            </w:r>
          </w:p>
        </w:tc>
        <w:tc>
          <w:tcPr>
            <w:tcW w:w="2397" w:type="dxa"/>
          </w:tcPr>
          <w:p w14:paraId="5E9D001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Nie</w:t>
            </w:r>
          </w:p>
        </w:tc>
        <w:tc>
          <w:tcPr>
            <w:tcW w:w="2280" w:type="dxa"/>
            <w:noWrap/>
            <w:vAlign w:val="center"/>
          </w:tcPr>
          <w:p w14:paraId="48185DD9"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5,7</w:t>
            </w:r>
          </w:p>
        </w:tc>
      </w:tr>
      <w:tr w:rsidR="001676E4" w:rsidRPr="00E70F88" w14:paraId="16746A7D"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33065025"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143D7CDA"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15EB6FC5"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Pół godziny lub mniej</w:t>
            </w:r>
          </w:p>
        </w:tc>
        <w:tc>
          <w:tcPr>
            <w:tcW w:w="2280" w:type="dxa"/>
            <w:noWrap/>
            <w:vAlign w:val="center"/>
          </w:tcPr>
          <w:p w14:paraId="042B915E"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6,4</w:t>
            </w:r>
          </w:p>
        </w:tc>
      </w:tr>
      <w:tr w:rsidR="001676E4" w:rsidRPr="00E70F88" w14:paraId="1E54F05D"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0B25FEC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4BAACE36"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72B5CBE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1 godziny</w:t>
            </w:r>
          </w:p>
        </w:tc>
        <w:tc>
          <w:tcPr>
            <w:tcW w:w="2280" w:type="dxa"/>
            <w:noWrap/>
            <w:vAlign w:val="center"/>
          </w:tcPr>
          <w:p w14:paraId="435B3D8C"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16,3</w:t>
            </w:r>
          </w:p>
        </w:tc>
      </w:tr>
      <w:tr w:rsidR="001676E4" w:rsidRPr="00E70F88" w14:paraId="67E9CDDF"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3B95E4B8"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007444E2"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07834402"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2-3 godzin</w:t>
            </w:r>
          </w:p>
        </w:tc>
        <w:tc>
          <w:tcPr>
            <w:tcW w:w="2280" w:type="dxa"/>
            <w:noWrap/>
            <w:vAlign w:val="center"/>
          </w:tcPr>
          <w:p w14:paraId="51D4B327"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34,4</w:t>
            </w:r>
          </w:p>
        </w:tc>
      </w:tr>
      <w:tr w:rsidR="001676E4" w:rsidRPr="00E70F88" w14:paraId="35E5119E"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0F8BDF59"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04040C10"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2A4F742A"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4-5 godzin</w:t>
            </w:r>
          </w:p>
        </w:tc>
        <w:tc>
          <w:tcPr>
            <w:tcW w:w="2280" w:type="dxa"/>
            <w:noWrap/>
            <w:vAlign w:val="center"/>
          </w:tcPr>
          <w:p w14:paraId="45284B7F"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21,4</w:t>
            </w:r>
          </w:p>
        </w:tc>
      </w:tr>
      <w:tr w:rsidR="001676E4" w:rsidRPr="00E70F88" w14:paraId="70BE607F"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2FE1A301"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7E373793"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p>
        </w:tc>
        <w:tc>
          <w:tcPr>
            <w:tcW w:w="2397" w:type="dxa"/>
          </w:tcPr>
          <w:p w14:paraId="275BF6EB"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6 godzin lub więcej</w:t>
            </w:r>
          </w:p>
        </w:tc>
        <w:tc>
          <w:tcPr>
            <w:tcW w:w="2280" w:type="dxa"/>
            <w:noWrap/>
            <w:vAlign w:val="center"/>
          </w:tcPr>
          <w:p w14:paraId="0E1C5A3C"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15,7</w:t>
            </w:r>
          </w:p>
        </w:tc>
      </w:tr>
      <w:tr w:rsidR="001676E4" w:rsidRPr="00E70F88" w14:paraId="5A9DE979"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5288EAE3"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val="restart"/>
          </w:tcPr>
          <w:p w14:paraId="69A7DEF4" w14:textId="77777777" w:rsidR="001676E4" w:rsidRPr="00E70F88" w:rsidRDefault="001676E4" w:rsidP="003D66E5">
            <w:pPr>
              <w:widowControl w:val="0"/>
              <w:tabs>
                <w:tab w:val="center" w:pos="3456"/>
              </w:tabs>
              <w:autoSpaceDE w:val="0"/>
              <w:autoSpaceDN w:val="0"/>
              <w:adjustRightInd w:val="0"/>
              <w:spacing w:after="0" w:line="240" w:lineRule="auto"/>
              <w:rPr>
                <w:rFonts w:cs="Arial"/>
                <w:sz w:val="18"/>
                <w:szCs w:val="18"/>
              </w:rPr>
            </w:pPr>
            <w:r w:rsidRPr="00E70F88">
              <w:rPr>
                <w:rFonts w:cs="Arial"/>
                <w:sz w:val="18"/>
                <w:szCs w:val="18"/>
              </w:rPr>
              <w:t>Typowy dzień weekendowy</w:t>
            </w:r>
          </w:p>
        </w:tc>
        <w:tc>
          <w:tcPr>
            <w:tcW w:w="2397" w:type="dxa"/>
          </w:tcPr>
          <w:p w14:paraId="68212455"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Nie</w:t>
            </w:r>
          </w:p>
        </w:tc>
        <w:tc>
          <w:tcPr>
            <w:tcW w:w="2280" w:type="dxa"/>
            <w:noWrap/>
            <w:vAlign w:val="center"/>
          </w:tcPr>
          <w:p w14:paraId="5A7BCE15"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6,0</w:t>
            </w:r>
          </w:p>
        </w:tc>
      </w:tr>
      <w:tr w:rsidR="001676E4" w:rsidRPr="00E70F88" w14:paraId="3C767D45"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7712ABBC"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225330E7"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397" w:type="dxa"/>
          </w:tcPr>
          <w:p w14:paraId="6C87CD15"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Pół godziny lub mniej</w:t>
            </w:r>
          </w:p>
        </w:tc>
        <w:tc>
          <w:tcPr>
            <w:tcW w:w="2280" w:type="dxa"/>
            <w:noWrap/>
            <w:vAlign w:val="center"/>
          </w:tcPr>
          <w:p w14:paraId="30D37D31"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5,9</w:t>
            </w:r>
          </w:p>
        </w:tc>
      </w:tr>
      <w:tr w:rsidR="001676E4" w:rsidRPr="00E70F88" w14:paraId="539B1B82"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28B089F3"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17A8E681"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397" w:type="dxa"/>
          </w:tcPr>
          <w:p w14:paraId="459F9152"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1 godziny</w:t>
            </w:r>
          </w:p>
        </w:tc>
        <w:tc>
          <w:tcPr>
            <w:tcW w:w="2280" w:type="dxa"/>
            <w:noWrap/>
            <w:vAlign w:val="center"/>
          </w:tcPr>
          <w:p w14:paraId="1596C1F2"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11,7</w:t>
            </w:r>
          </w:p>
        </w:tc>
      </w:tr>
      <w:tr w:rsidR="001676E4" w:rsidRPr="00E70F88" w14:paraId="468B55CE"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007B25B8"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0F62AF01"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397" w:type="dxa"/>
          </w:tcPr>
          <w:p w14:paraId="57E084D1"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2-3 godzin</w:t>
            </w:r>
          </w:p>
        </w:tc>
        <w:tc>
          <w:tcPr>
            <w:tcW w:w="2280" w:type="dxa"/>
            <w:noWrap/>
            <w:vAlign w:val="center"/>
          </w:tcPr>
          <w:p w14:paraId="5B5427E5"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25,6</w:t>
            </w:r>
          </w:p>
        </w:tc>
      </w:tr>
      <w:tr w:rsidR="001676E4" w:rsidRPr="00E70F88" w14:paraId="27C5B1B2"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6A67A2F7"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24E3C37C"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397" w:type="dxa"/>
          </w:tcPr>
          <w:p w14:paraId="50CF3926"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Około 4-5 godzin</w:t>
            </w:r>
          </w:p>
        </w:tc>
        <w:tc>
          <w:tcPr>
            <w:tcW w:w="2280" w:type="dxa"/>
            <w:noWrap/>
            <w:vAlign w:val="center"/>
          </w:tcPr>
          <w:p w14:paraId="38D03D1F"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27,9</w:t>
            </w:r>
          </w:p>
        </w:tc>
      </w:tr>
      <w:tr w:rsidR="001676E4" w:rsidRPr="00E70F88" w14:paraId="6599212C" w14:textId="77777777" w:rsidTr="003D66E5">
        <w:tblPrEx>
          <w:tblCellMar>
            <w:left w:w="108" w:type="dxa"/>
            <w:right w:w="108" w:type="dxa"/>
          </w:tblCellMar>
          <w:tblLook w:val="04A0" w:firstRow="1" w:lastRow="0" w:firstColumn="1" w:lastColumn="0" w:noHBand="0" w:noVBand="1"/>
        </w:tblPrEx>
        <w:trPr>
          <w:trHeight w:val="260"/>
        </w:trPr>
        <w:tc>
          <w:tcPr>
            <w:tcW w:w="1830" w:type="dxa"/>
            <w:vMerge/>
          </w:tcPr>
          <w:p w14:paraId="663EAE90"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565" w:type="dxa"/>
            <w:vMerge/>
          </w:tcPr>
          <w:p w14:paraId="0DBBAD4C"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p>
        </w:tc>
        <w:tc>
          <w:tcPr>
            <w:tcW w:w="2397" w:type="dxa"/>
          </w:tcPr>
          <w:p w14:paraId="73F3EE0F" w14:textId="77777777" w:rsidR="001676E4" w:rsidRPr="00E70F88" w:rsidRDefault="001676E4" w:rsidP="003D66E5">
            <w:pPr>
              <w:widowControl w:val="0"/>
              <w:tabs>
                <w:tab w:val="center" w:pos="3456"/>
              </w:tabs>
              <w:autoSpaceDE w:val="0"/>
              <w:autoSpaceDN w:val="0"/>
              <w:adjustRightInd w:val="0"/>
              <w:spacing w:after="0" w:line="360" w:lineRule="auto"/>
              <w:jc w:val="both"/>
              <w:rPr>
                <w:rFonts w:cs="Arial"/>
                <w:sz w:val="18"/>
                <w:szCs w:val="18"/>
              </w:rPr>
            </w:pPr>
            <w:r w:rsidRPr="00E70F88">
              <w:rPr>
                <w:rFonts w:cs="Arial"/>
                <w:sz w:val="18"/>
                <w:szCs w:val="18"/>
              </w:rPr>
              <w:t>6 godzin lub więcej</w:t>
            </w:r>
          </w:p>
        </w:tc>
        <w:tc>
          <w:tcPr>
            <w:tcW w:w="2280" w:type="dxa"/>
            <w:noWrap/>
            <w:vAlign w:val="center"/>
          </w:tcPr>
          <w:p w14:paraId="7000B127" w14:textId="77777777" w:rsidR="001676E4" w:rsidRPr="00E70F88" w:rsidRDefault="001676E4" w:rsidP="003D66E5">
            <w:pPr>
              <w:spacing w:after="0" w:line="240" w:lineRule="auto"/>
              <w:jc w:val="center"/>
              <w:rPr>
                <w:rFonts w:cs="Arial"/>
                <w:color w:val="000000"/>
                <w:sz w:val="18"/>
                <w:szCs w:val="18"/>
              </w:rPr>
            </w:pPr>
            <w:r w:rsidRPr="00E70F88">
              <w:rPr>
                <w:rFonts w:cs="Arial"/>
                <w:color w:val="000000"/>
                <w:sz w:val="18"/>
                <w:szCs w:val="18"/>
              </w:rPr>
              <w:t>23,0</w:t>
            </w:r>
          </w:p>
        </w:tc>
      </w:tr>
    </w:tbl>
    <w:p w14:paraId="4F3784CE" w14:textId="77777777" w:rsidR="00844523" w:rsidRPr="0022273E" w:rsidRDefault="00844523" w:rsidP="00844523">
      <w:pPr>
        <w:widowControl w:val="0"/>
        <w:autoSpaceDE w:val="0"/>
        <w:autoSpaceDN w:val="0"/>
        <w:adjustRightInd w:val="0"/>
        <w:spacing w:line="360" w:lineRule="auto"/>
        <w:ind w:firstLine="567"/>
        <w:jc w:val="both"/>
        <w:rPr>
          <w:rFonts w:cs="Arial"/>
          <w:color w:val="000000"/>
          <w:sz w:val="18"/>
          <w:szCs w:val="18"/>
        </w:rPr>
      </w:pPr>
      <w:r w:rsidRPr="0022273E">
        <w:rPr>
          <w:rFonts w:cs="Arial"/>
          <w:color w:val="000000"/>
          <w:sz w:val="18"/>
          <w:szCs w:val="18"/>
        </w:rPr>
        <w:t>Źródło: ESPAD 2024</w:t>
      </w:r>
    </w:p>
    <w:p w14:paraId="4926BD75" w14:textId="77777777" w:rsidR="001676E4" w:rsidRPr="00317DE2" w:rsidRDefault="001676E4" w:rsidP="00A43860">
      <w:pPr>
        <w:pStyle w:val="Nagwek3"/>
        <w:rPr>
          <w:rFonts w:eastAsia="Calibri"/>
        </w:rPr>
      </w:pPr>
      <w:r w:rsidRPr="00317DE2">
        <w:rPr>
          <w:rFonts w:eastAsia="Calibri"/>
        </w:rPr>
        <w:t>Gry komputerowe</w:t>
      </w:r>
    </w:p>
    <w:p w14:paraId="03E23DCD" w14:textId="40BA642D" w:rsidR="001676E4" w:rsidRPr="00317DE2" w:rsidRDefault="001676E4" w:rsidP="001676E4">
      <w:pPr>
        <w:spacing w:after="0" w:line="360" w:lineRule="auto"/>
        <w:ind w:firstLine="426"/>
        <w:jc w:val="both"/>
        <w:rPr>
          <w:rFonts w:eastAsia="Calibri" w:cs="Arial"/>
          <w:sz w:val="22"/>
          <w:szCs w:val="22"/>
        </w:rPr>
      </w:pPr>
      <w:r w:rsidRPr="00844523">
        <w:rPr>
          <w:rFonts w:eastAsia="Calibri" w:cs="Arial"/>
          <w:sz w:val="22"/>
          <w:szCs w:val="22"/>
        </w:rPr>
        <w:t>Jak wynika z badania ESPAD realizowanego w 2024 roku w województwie lubelskim,</w:t>
      </w:r>
      <w:r w:rsidRPr="00E70F88">
        <w:rPr>
          <w:rFonts w:eastAsia="Calibri" w:cs="Arial"/>
          <w:sz w:val="22"/>
          <w:szCs w:val="22"/>
        </w:rPr>
        <w:br/>
        <w:t>w młodszej populacji zarówno w dzień powszedni, jak w trakcie weekendu czas spędzany na graniu zawierał się w przedziale od 2 do 3 godzin. W starszej grupie odsetki badanych deklarujących granie w różnych przedziałach czasowych rozkładały się równomiernie. Najwięcej osób z młodszej kohorty grało w ciągu ostatnich 7 dni poprzedzających badanie codziennie (20,9%). W starszej kohorcie najwięcej osób zadeklarowało granie tylko jednego dnia (18,5%). Jeśli chodzi o inne odpowiedzi na to pytanie, można zauważyć nierównomierny ich rozkład</w:t>
      </w:r>
      <w:r w:rsidRPr="00317DE2">
        <w:rPr>
          <w:rFonts w:eastAsia="Calibri" w:cs="Arial"/>
          <w:sz w:val="22"/>
          <w:szCs w:val="22"/>
        </w:rPr>
        <w:t>.</w:t>
      </w:r>
    </w:p>
    <w:p w14:paraId="19698691" w14:textId="77777777" w:rsidR="001676E4" w:rsidRPr="00317DE2" w:rsidRDefault="001676E4" w:rsidP="001676E4">
      <w:pPr>
        <w:spacing w:after="240" w:line="360" w:lineRule="auto"/>
        <w:ind w:firstLine="425"/>
        <w:jc w:val="both"/>
        <w:rPr>
          <w:rFonts w:eastAsia="Calibri" w:cs="Arial"/>
          <w:bCs/>
          <w:sz w:val="22"/>
          <w:szCs w:val="22"/>
        </w:rPr>
      </w:pPr>
      <w:r w:rsidRPr="00317DE2">
        <w:rPr>
          <w:rFonts w:eastAsia="Calibri" w:cs="Arial"/>
          <w:bCs/>
          <w:sz w:val="22"/>
          <w:szCs w:val="22"/>
        </w:rPr>
        <w:t>W badaniu ESPAD dot. województwa lubelskiego diagnozowano również symptomy nadmiernego korzystania z gier na urządzeniach elektronicznych, takich jak komputer, smartfon, konsola. W młodszej i starszej grupie wiekowej uszeregowanie symptomów według występowania jest podobne: 27,6% młodszej młodzieży i 16,9% starszej przyznało, że ich rodzice są przekonani, że za dużo czasu spędzają na graniu, 18,1% młodszyc</w:t>
      </w:r>
      <w:r>
        <w:rPr>
          <w:rFonts w:eastAsia="Calibri" w:cs="Arial"/>
          <w:bCs/>
          <w:sz w:val="22"/>
          <w:szCs w:val="22"/>
        </w:rPr>
        <w:t xml:space="preserve">h </w:t>
      </w:r>
      <w:r w:rsidRPr="00317DE2">
        <w:rPr>
          <w:rFonts w:eastAsia="Calibri" w:cs="Arial"/>
          <w:bCs/>
          <w:sz w:val="22"/>
          <w:szCs w:val="22"/>
        </w:rPr>
        <w:t>i</w:t>
      </w:r>
      <w:r>
        <w:rPr>
          <w:rFonts w:eastAsia="Calibri" w:cs="Arial"/>
          <w:bCs/>
          <w:sz w:val="22"/>
          <w:szCs w:val="22"/>
        </w:rPr>
        <w:t xml:space="preserve"> </w:t>
      </w:r>
      <w:r w:rsidRPr="00317DE2">
        <w:rPr>
          <w:rFonts w:eastAsia="Calibri" w:cs="Arial"/>
          <w:bCs/>
          <w:sz w:val="22"/>
          <w:szCs w:val="22"/>
        </w:rPr>
        <w:t xml:space="preserve">19,8% starszych żywi własne przekonanie, że poświęca zbyt wiele czasu na gry, a 7,6% młodszych dzieci i 5% starszych odczuwa zły humor jeśli jest pozbawione grania. </w:t>
      </w:r>
    </w:p>
    <w:p w14:paraId="0C5273DF" w14:textId="77777777" w:rsidR="00851D75" w:rsidRPr="00317DE2" w:rsidRDefault="00851D75" w:rsidP="00A43860">
      <w:pPr>
        <w:pStyle w:val="Nagwek3"/>
        <w:rPr>
          <w:rFonts w:eastAsia="Calibri"/>
        </w:rPr>
      </w:pPr>
      <w:r w:rsidRPr="00317DE2">
        <w:rPr>
          <w:rFonts w:eastAsia="Calibri"/>
        </w:rPr>
        <w:t>Działania profilaktyczne i lecznicze</w:t>
      </w:r>
    </w:p>
    <w:p w14:paraId="5233DE98" w14:textId="49A1D7F5" w:rsidR="00851D75" w:rsidRPr="00317DE2" w:rsidRDefault="00851D75" w:rsidP="00851D75">
      <w:pPr>
        <w:spacing w:after="0" w:line="360" w:lineRule="auto"/>
        <w:ind w:firstLine="425"/>
        <w:jc w:val="both"/>
        <w:rPr>
          <w:rFonts w:eastAsia="Calibri" w:cs="Arial"/>
          <w:sz w:val="22"/>
          <w:szCs w:val="22"/>
        </w:rPr>
      </w:pPr>
      <w:r w:rsidRPr="00317DE2">
        <w:rPr>
          <w:rFonts w:eastAsia="Calibri" w:cs="Arial"/>
          <w:sz w:val="22"/>
          <w:szCs w:val="22"/>
        </w:rPr>
        <w:t>Do skutecznych strategii zapobiegania uzależnieniom behawioralnym (podobnie jak</w:t>
      </w:r>
      <w:r w:rsidRPr="00317DE2">
        <w:rPr>
          <w:rFonts w:eastAsia="Calibri" w:cs="Arial"/>
          <w:sz w:val="22"/>
          <w:szCs w:val="22"/>
        </w:rPr>
        <w:br/>
        <w:t xml:space="preserve">w innych </w:t>
      </w:r>
      <w:proofErr w:type="spellStart"/>
      <w:r w:rsidRPr="00317DE2">
        <w:rPr>
          <w:rFonts w:eastAsia="Calibri" w:cs="Arial"/>
          <w:sz w:val="22"/>
          <w:szCs w:val="22"/>
        </w:rPr>
        <w:t>zachowaniach</w:t>
      </w:r>
      <w:proofErr w:type="spellEnd"/>
      <w:r w:rsidRPr="00317DE2">
        <w:rPr>
          <w:rFonts w:eastAsia="Calibri" w:cs="Arial"/>
          <w:sz w:val="22"/>
          <w:szCs w:val="22"/>
        </w:rPr>
        <w:t xml:space="preserve"> ryzykownych młodzieży) należą: rozwijanie kompetencji </w:t>
      </w:r>
      <w:r w:rsidRPr="00317DE2">
        <w:rPr>
          <w:rFonts w:eastAsia="Calibri" w:cs="Arial"/>
          <w:sz w:val="22"/>
          <w:szCs w:val="22"/>
        </w:rPr>
        <w:lastRenderedPageBreak/>
        <w:t xml:space="preserve">psychospołecznych dzieci i młodzieży oraz rozwijanie kompetencji wychowawczych rodziców </w:t>
      </w:r>
      <w:r w:rsidRPr="00317DE2">
        <w:rPr>
          <w:rFonts w:eastAsia="Calibri" w:cs="Arial"/>
          <w:sz w:val="22"/>
          <w:szCs w:val="22"/>
        </w:rPr>
        <w:br/>
        <w:t xml:space="preserve">i opiekunów. Ponadto, do specyficznych działań profilaktycznych, które zostały uznane za skuteczne należą: obniżenie pozytywnych oczekiwań związanych z używaniem </w:t>
      </w:r>
      <w:proofErr w:type="spellStart"/>
      <w:r w:rsidRPr="00317DE2">
        <w:rPr>
          <w:rFonts w:eastAsia="Calibri" w:cs="Arial"/>
          <w:sz w:val="22"/>
          <w:szCs w:val="22"/>
        </w:rPr>
        <w:t>internetu</w:t>
      </w:r>
      <w:proofErr w:type="spellEnd"/>
      <w:r w:rsidRPr="00317DE2">
        <w:rPr>
          <w:rFonts w:eastAsia="Calibri" w:cs="Arial"/>
          <w:sz w:val="22"/>
          <w:szCs w:val="22"/>
        </w:rPr>
        <w:t>/ graniem w gry hazardowe, korygowanie zniekształceń poznawczych związanych z graniem</w:t>
      </w:r>
      <w:r w:rsidRPr="00317DE2">
        <w:rPr>
          <w:rFonts w:eastAsia="Calibri" w:cs="Arial"/>
          <w:sz w:val="22"/>
          <w:szCs w:val="22"/>
        </w:rPr>
        <w:br/>
        <w:t>w gry hazardowe (w tym w obszarze ważne jest dostarczanie wiedzy na temat matematycznego prawdopodobieństwa). Natomiast do nieskutecznych form profilaktycznych (tak samo jak w</w:t>
      </w:r>
      <w:r>
        <w:rPr>
          <w:rFonts w:eastAsia="Calibri" w:cs="Arial"/>
          <w:sz w:val="22"/>
          <w:szCs w:val="22"/>
        </w:rPr>
        <w:t> </w:t>
      </w:r>
      <w:r w:rsidRPr="00317DE2">
        <w:rPr>
          <w:rFonts w:eastAsia="Calibri" w:cs="Arial"/>
          <w:sz w:val="22"/>
          <w:szCs w:val="22"/>
        </w:rPr>
        <w:t>uzależnieniach od substancji psychoaktywnych) należą prelekcje i pogadanki z udziałem byłych hazardzistów. Podobnie sam przekaz wiedzy o objawach zachowania nałogowego nie spowoduje, że młodzież nie będzie narażona na tego rodzaju zachowania.</w:t>
      </w:r>
    </w:p>
    <w:p w14:paraId="2AEF49FB" w14:textId="77777777" w:rsidR="00851D75" w:rsidRPr="005952CC" w:rsidRDefault="00851D75" w:rsidP="00851D75">
      <w:pPr>
        <w:spacing w:after="0" w:line="360" w:lineRule="auto"/>
        <w:ind w:firstLine="426"/>
        <w:jc w:val="both"/>
        <w:rPr>
          <w:rFonts w:eastAsia="Calibri" w:cs="Arial"/>
          <w:sz w:val="22"/>
          <w:szCs w:val="22"/>
        </w:rPr>
      </w:pPr>
      <w:r w:rsidRPr="00317DE2">
        <w:rPr>
          <w:rFonts w:eastAsia="Calibri" w:cs="Arial"/>
          <w:sz w:val="22"/>
          <w:szCs w:val="22"/>
        </w:rPr>
        <w:t xml:space="preserve">Do strategii uzupełniających czyli wykorzystywanych łącznie ze strategiami wiodącymi należy przekaz wiedzy. W tym zakresie w odniesieniu do zagrożeń behawioralnych możliwa jest </w:t>
      </w:r>
      <w:r w:rsidRPr="005952CC">
        <w:rPr>
          <w:rFonts w:eastAsia="Calibri" w:cs="Arial"/>
          <w:sz w:val="22"/>
          <w:szCs w:val="22"/>
        </w:rPr>
        <w:t>np. realizacja zajęć edukacyjnych dla rodziców na temat zasad korzystania przez dzieci</w:t>
      </w:r>
      <w:r w:rsidRPr="005952CC">
        <w:rPr>
          <w:rFonts w:eastAsia="Calibri" w:cs="Arial"/>
          <w:sz w:val="22"/>
          <w:szCs w:val="22"/>
        </w:rPr>
        <w:br/>
        <w:t xml:space="preserve">w wieku przedszkolnym i wczesnoszkolnym z </w:t>
      </w:r>
      <w:proofErr w:type="spellStart"/>
      <w:r w:rsidRPr="005952CC">
        <w:rPr>
          <w:rFonts w:eastAsia="Calibri" w:cs="Arial"/>
          <w:sz w:val="22"/>
          <w:szCs w:val="22"/>
        </w:rPr>
        <w:t>internetu</w:t>
      </w:r>
      <w:proofErr w:type="spellEnd"/>
      <w:r w:rsidRPr="005952CC">
        <w:rPr>
          <w:rFonts w:eastAsia="Calibri" w:cs="Arial"/>
          <w:sz w:val="22"/>
          <w:szCs w:val="22"/>
        </w:rPr>
        <w:t>.</w:t>
      </w:r>
    </w:p>
    <w:p w14:paraId="38F5F714" w14:textId="77777777" w:rsidR="00851D75" w:rsidRPr="00317DE2" w:rsidRDefault="00851D75" w:rsidP="00851D75">
      <w:pPr>
        <w:spacing w:after="0" w:line="360" w:lineRule="auto"/>
        <w:ind w:firstLine="425"/>
        <w:jc w:val="both"/>
        <w:rPr>
          <w:rFonts w:eastAsia="Calibri" w:cs="Arial"/>
          <w:sz w:val="22"/>
          <w:szCs w:val="22"/>
        </w:rPr>
      </w:pPr>
      <w:r w:rsidRPr="005952CC">
        <w:rPr>
          <w:rFonts w:eastAsia="Calibri" w:cs="Arial"/>
          <w:sz w:val="22"/>
          <w:szCs w:val="22"/>
        </w:rPr>
        <w:t>Analiza zasobów instytucjonalnych województwa lubelskiego w zakresie leczenia</w:t>
      </w:r>
      <w:r w:rsidRPr="005952CC">
        <w:rPr>
          <w:rFonts w:eastAsia="Calibri" w:cs="Arial"/>
          <w:sz w:val="22"/>
          <w:szCs w:val="22"/>
        </w:rPr>
        <w:br/>
      </w:r>
      <w:r w:rsidRPr="00844523">
        <w:rPr>
          <w:rFonts w:eastAsia="Calibri" w:cs="Arial"/>
          <w:sz w:val="22"/>
          <w:szCs w:val="22"/>
        </w:rPr>
        <w:t>ww. uzależnień wskazuje na 12 ośrodków prowadzących tego typu terapię</w:t>
      </w:r>
      <w:r w:rsidRPr="00844523">
        <w:rPr>
          <w:rStyle w:val="Odwoanieprzypisudolnego"/>
          <w:rFonts w:eastAsia="Calibri" w:cs="Arial"/>
          <w:sz w:val="22"/>
          <w:szCs w:val="22"/>
        </w:rPr>
        <w:footnoteReference w:id="46"/>
      </w:r>
      <w:r w:rsidRPr="00844523">
        <w:rPr>
          <w:rFonts w:eastAsia="Calibri" w:cs="Arial"/>
          <w:sz w:val="22"/>
          <w:szCs w:val="22"/>
        </w:rPr>
        <w:t>, z czego 3</w:t>
      </w:r>
      <w:r w:rsidRPr="005952CC">
        <w:rPr>
          <w:rFonts w:eastAsia="Calibri" w:cs="Arial"/>
          <w:sz w:val="22"/>
          <w:szCs w:val="22"/>
        </w:rPr>
        <w:t xml:space="preserve"> w</w:t>
      </w:r>
      <w:r>
        <w:rPr>
          <w:rFonts w:eastAsia="Calibri" w:cs="Arial"/>
          <w:sz w:val="22"/>
          <w:szCs w:val="22"/>
        </w:rPr>
        <w:t> </w:t>
      </w:r>
      <w:r w:rsidRPr="005952CC">
        <w:rPr>
          <w:rFonts w:eastAsia="Calibri" w:cs="Arial"/>
          <w:sz w:val="22"/>
          <w:szCs w:val="22"/>
        </w:rPr>
        <w:t>Lublinie i po jednym w: Hrubieszowie, Puławach, Kraśniku, Zamościu, Białej Podlasce, Tomaszowie Lubelskiem, Międzyrzecu Podlaskim, Biłgoraju oraz we Włodawie. Wszystkie ww. ośrodki prowadzą też terapię/leczenie innych rodzajów uzależnień. Najważniejszym aspektem dotyczącym leczenia uzależnienia od czynności/</w:t>
      </w:r>
      <w:proofErr w:type="spellStart"/>
      <w:r w:rsidRPr="005952CC">
        <w:rPr>
          <w:rFonts w:eastAsia="Calibri" w:cs="Arial"/>
          <w:sz w:val="22"/>
          <w:szCs w:val="22"/>
        </w:rPr>
        <w:t>zachowań</w:t>
      </w:r>
      <w:proofErr w:type="spellEnd"/>
      <w:r w:rsidRPr="005952CC">
        <w:rPr>
          <w:rFonts w:eastAsia="Calibri" w:cs="Arial"/>
          <w:sz w:val="22"/>
          <w:szCs w:val="22"/>
        </w:rPr>
        <w:t xml:space="preserve"> powinno być działanie</w:t>
      </w:r>
      <w:r w:rsidRPr="00317DE2">
        <w:rPr>
          <w:rFonts w:eastAsia="Calibri" w:cs="Arial"/>
          <w:sz w:val="22"/>
          <w:szCs w:val="22"/>
        </w:rPr>
        <w:t xml:space="preserve"> ukierunkowane na kształtowanie uważności, regulację emocji oraz modyfikację dysfunkcyjnych schematów poznawczych i trybów. Wynika to z faktu, że ww. uzależnienia są związane z dysfunkcją regulacji emocji. W większości przypadków dotyczy to utrwalonych, chronicznych wzorców życiowych lub schematów. Współwystępuje to często u osób z zaburzeniami osobowości, w przypadku których, jak wskazują badania, terapia schematów i trybów jest najskuteczniejszym modelem leczenia</w:t>
      </w:r>
      <w:r w:rsidRPr="00317DE2">
        <w:rPr>
          <w:rStyle w:val="Odwoanieprzypisudolnego"/>
          <w:rFonts w:eastAsia="Calibri" w:cs="Arial"/>
          <w:sz w:val="22"/>
          <w:szCs w:val="22"/>
        </w:rPr>
        <w:footnoteReference w:id="47"/>
      </w:r>
      <w:r w:rsidRPr="00317DE2">
        <w:rPr>
          <w:rFonts w:eastAsia="Calibri" w:cs="Arial"/>
          <w:sz w:val="22"/>
          <w:szCs w:val="22"/>
        </w:rPr>
        <w:t>.</w:t>
      </w:r>
    </w:p>
    <w:p w14:paraId="3BE4A064" w14:textId="77777777" w:rsidR="00E85AF2" w:rsidRDefault="00E85AF2" w:rsidP="00C967C7">
      <w:pPr>
        <w:spacing w:after="160" w:line="259" w:lineRule="auto"/>
        <w:rPr>
          <w:rFonts w:cs="Arial"/>
          <w:sz w:val="22"/>
          <w:szCs w:val="22"/>
        </w:rPr>
      </w:pPr>
    </w:p>
    <w:p w14:paraId="0553C740" w14:textId="74FA2830" w:rsidR="00240565" w:rsidRPr="00317DE2" w:rsidRDefault="00DC0A30" w:rsidP="00C967C7">
      <w:pPr>
        <w:spacing w:after="160" w:line="259" w:lineRule="auto"/>
        <w:rPr>
          <w:rFonts w:cs="Arial"/>
          <w:sz w:val="22"/>
          <w:szCs w:val="22"/>
        </w:rPr>
      </w:pPr>
      <w:r w:rsidRPr="00317DE2">
        <w:rPr>
          <w:rFonts w:cs="Arial"/>
          <w:sz w:val="22"/>
          <w:szCs w:val="22"/>
        </w:rPr>
        <w:br w:type="page"/>
      </w:r>
    </w:p>
    <w:p w14:paraId="7A0F98A5" w14:textId="77777777" w:rsidR="006B262B" w:rsidRPr="00F40E21" w:rsidRDefault="006B262B" w:rsidP="00B11CBB">
      <w:pPr>
        <w:pStyle w:val="Nagwek2"/>
      </w:pPr>
      <w:bookmarkStart w:id="119" w:name="_Toc51671029"/>
      <w:bookmarkStart w:id="120" w:name="_Toc214277571"/>
      <w:r w:rsidRPr="00F40E21">
        <w:lastRenderedPageBreak/>
        <w:t>Spis tabel</w:t>
      </w:r>
      <w:bookmarkEnd w:id="119"/>
      <w:bookmarkEnd w:id="120"/>
    </w:p>
    <w:p w14:paraId="60C38186" w14:textId="14E2DCA0" w:rsidR="00802AFA" w:rsidRPr="00802AFA" w:rsidRDefault="004A6844">
      <w:pPr>
        <w:pStyle w:val="Spisilustracji"/>
        <w:rPr>
          <w:rFonts w:asciiTheme="minorHAnsi" w:eastAsiaTheme="minorEastAsia" w:hAnsiTheme="minorHAnsi" w:cstheme="minorBidi"/>
          <w:b w:val="0"/>
          <w:kern w:val="2"/>
          <w:sz w:val="24"/>
          <w:szCs w:val="24"/>
          <w14:ligatures w14:val="standardContextual"/>
        </w:rPr>
      </w:pPr>
      <w:r w:rsidRPr="00802AFA">
        <w:rPr>
          <w:b w:val="0"/>
          <w:noProof w:val="0"/>
          <w:szCs w:val="22"/>
        </w:rPr>
        <w:fldChar w:fldCharType="begin"/>
      </w:r>
      <w:r w:rsidR="006B262B" w:rsidRPr="00802AFA">
        <w:rPr>
          <w:b w:val="0"/>
          <w:noProof w:val="0"/>
          <w:szCs w:val="22"/>
        </w:rPr>
        <w:instrText xml:space="preserve"> TOC \h \z \c "Tabela" </w:instrText>
      </w:r>
      <w:r w:rsidRPr="00802AFA">
        <w:rPr>
          <w:b w:val="0"/>
          <w:noProof w:val="0"/>
          <w:szCs w:val="22"/>
        </w:rPr>
        <w:fldChar w:fldCharType="separate"/>
      </w:r>
      <w:hyperlink w:anchor="_Toc214279686" w:history="1">
        <w:r w:rsidR="00802AFA" w:rsidRPr="00802AFA">
          <w:rPr>
            <w:rStyle w:val="Hipercze"/>
            <w:b w:val="0"/>
          </w:rPr>
          <w:t>Tabela 1. Średnie roczne spożycie napojów alkoholowych na 1 mieszkańca Polski w latach 2020-2023</w:t>
        </w:r>
        <w:r w:rsidR="00802AFA" w:rsidRPr="00802AFA">
          <w:rPr>
            <w:b w:val="0"/>
            <w:webHidden/>
          </w:rPr>
          <w:tab/>
        </w:r>
        <w:r w:rsidR="00802AFA">
          <w:rPr>
            <w:b w:val="0"/>
            <w:webHidden/>
          </w:rPr>
          <w:t>………………………………………………………………………………………………….</w:t>
        </w:r>
        <w:r w:rsidR="00802AFA" w:rsidRPr="00802AFA">
          <w:rPr>
            <w:b w:val="0"/>
            <w:webHidden/>
          </w:rPr>
          <w:fldChar w:fldCharType="begin"/>
        </w:r>
        <w:r w:rsidR="00802AFA" w:rsidRPr="00802AFA">
          <w:rPr>
            <w:b w:val="0"/>
            <w:webHidden/>
          </w:rPr>
          <w:instrText xml:space="preserve"> PAGEREF _Toc214279686 \h </w:instrText>
        </w:r>
        <w:r w:rsidR="00802AFA" w:rsidRPr="00802AFA">
          <w:rPr>
            <w:b w:val="0"/>
            <w:webHidden/>
          </w:rPr>
        </w:r>
        <w:r w:rsidR="00802AFA" w:rsidRPr="00802AFA">
          <w:rPr>
            <w:b w:val="0"/>
            <w:webHidden/>
          </w:rPr>
          <w:fldChar w:fldCharType="separate"/>
        </w:r>
        <w:r w:rsidR="00802AFA" w:rsidRPr="00802AFA">
          <w:rPr>
            <w:b w:val="0"/>
            <w:webHidden/>
          </w:rPr>
          <w:t>3</w:t>
        </w:r>
        <w:r w:rsidR="00802AFA" w:rsidRPr="00802AFA">
          <w:rPr>
            <w:b w:val="0"/>
            <w:webHidden/>
          </w:rPr>
          <w:fldChar w:fldCharType="end"/>
        </w:r>
      </w:hyperlink>
    </w:p>
    <w:p w14:paraId="474CE704" w14:textId="7AE0D300"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87" w:history="1">
        <w:r w:rsidRPr="00802AFA">
          <w:rPr>
            <w:rStyle w:val="Hipercze"/>
            <w:b w:val="0"/>
          </w:rPr>
          <w:t>Tabela 2. Liczba interwencji gminnych komisji rozwiązywania problemów alkoholowych w województwie lubelskim w latach 2020-2023</w:t>
        </w:r>
        <w:r w:rsidRPr="00802AFA">
          <w:rPr>
            <w:b w:val="0"/>
            <w:webHidden/>
          </w:rPr>
          <w:tab/>
        </w:r>
        <w:r w:rsidRPr="00802AFA">
          <w:rPr>
            <w:b w:val="0"/>
            <w:webHidden/>
          </w:rPr>
          <w:fldChar w:fldCharType="begin"/>
        </w:r>
        <w:r w:rsidRPr="00802AFA">
          <w:rPr>
            <w:b w:val="0"/>
            <w:webHidden/>
          </w:rPr>
          <w:instrText xml:space="preserve"> PAGEREF _Toc214279687 \h </w:instrText>
        </w:r>
        <w:r w:rsidRPr="00802AFA">
          <w:rPr>
            <w:b w:val="0"/>
            <w:webHidden/>
          </w:rPr>
        </w:r>
        <w:r w:rsidRPr="00802AFA">
          <w:rPr>
            <w:b w:val="0"/>
            <w:webHidden/>
          </w:rPr>
          <w:fldChar w:fldCharType="separate"/>
        </w:r>
        <w:r w:rsidRPr="00802AFA">
          <w:rPr>
            <w:b w:val="0"/>
            <w:webHidden/>
          </w:rPr>
          <w:t>20</w:t>
        </w:r>
        <w:r w:rsidRPr="00802AFA">
          <w:rPr>
            <w:b w:val="0"/>
            <w:webHidden/>
          </w:rPr>
          <w:fldChar w:fldCharType="end"/>
        </w:r>
      </w:hyperlink>
    </w:p>
    <w:p w14:paraId="6C476F86" w14:textId="40370658"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88" w:history="1">
        <w:r w:rsidRPr="00802AFA">
          <w:rPr>
            <w:rStyle w:val="Hipercze"/>
            <w:b w:val="0"/>
          </w:rPr>
          <w:t>Tabela 3. Liczba klientów punktów konsultacyjnych dla osób z problemem alkoholowym w latach 2018-2023 w województwie lubelskim</w:t>
        </w:r>
        <w:r w:rsidRPr="00802AFA">
          <w:rPr>
            <w:b w:val="0"/>
            <w:webHidden/>
          </w:rPr>
          <w:tab/>
        </w:r>
        <w:r w:rsidRPr="00802AFA">
          <w:rPr>
            <w:b w:val="0"/>
            <w:webHidden/>
          </w:rPr>
          <w:fldChar w:fldCharType="begin"/>
        </w:r>
        <w:r w:rsidRPr="00802AFA">
          <w:rPr>
            <w:b w:val="0"/>
            <w:webHidden/>
          </w:rPr>
          <w:instrText xml:space="preserve"> PAGEREF _Toc214279688 \h </w:instrText>
        </w:r>
        <w:r w:rsidRPr="00802AFA">
          <w:rPr>
            <w:b w:val="0"/>
            <w:webHidden/>
          </w:rPr>
        </w:r>
        <w:r w:rsidRPr="00802AFA">
          <w:rPr>
            <w:b w:val="0"/>
            <w:webHidden/>
          </w:rPr>
          <w:fldChar w:fldCharType="separate"/>
        </w:r>
        <w:r w:rsidRPr="00802AFA">
          <w:rPr>
            <w:b w:val="0"/>
            <w:webHidden/>
          </w:rPr>
          <w:t>21</w:t>
        </w:r>
        <w:r w:rsidRPr="00802AFA">
          <w:rPr>
            <w:b w:val="0"/>
            <w:webHidden/>
          </w:rPr>
          <w:fldChar w:fldCharType="end"/>
        </w:r>
      </w:hyperlink>
    </w:p>
    <w:p w14:paraId="0B8E572D" w14:textId="5625AB88"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89" w:history="1">
        <w:r w:rsidRPr="00802AFA">
          <w:rPr>
            <w:rStyle w:val="Hipercze"/>
            <w:b w:val="0"/>
          </w:rPr>
          <w:t>Tabela 4. Rekomendowane programy profilaktyczne z obszaru profilaktyki uniwersalnej w województwie lubelskim realizowane na terenie gmin w latach 2021-2023</w:t>
        </w:r>
        <w:r w:rsidRPr="00802AFA">
          <w:rPr>
            <w:b w:val="0"/>
            <w:webHidden/>
          </w:rPr>
          <w:tab/>
        </w:r>
        <w:r w:rsidRPr="00802AFA">
          <w:rPr>
            <w:b w:val="0"/>
            <w:webHidden/>
          </w:rPr>
          <w:fldChar w:fldCharType="begin"/>
        </w:r>
        <w:r w:rsidRPr="00802AFA">
          <w:rPr>
            <w:b w:val="0"/>
            <w:webHidden/>
          </w:rPr>
          <w:instrText xml:space="preserve"> PAGEREF _Toc214279689 \h </w:instrText>
        </w:r>
        <w:r w:rsidRPr="00802AFA">
          <w:rPr>
            <w:b w:val="0"/>
            <w:webHidden/>
          </w:rPr>
        </w:r>
        <w:r w:rsidRPr="00802AFA">
          <w:rPr>
            <w:b w:val="0"/>
            <w:webHidden/>
          </w:rPr>
          <w:fldChar w:fldCharType="separate"/>
        </w:r>
        <w:r w:rsidRPr="00802AFA">
          <w:rPr>
            <w:b w:val="0"/>
            <w:webHidden/>
          </w:rPr>
          <w:t>24</w:t>
        </w:r>
        <w:r w:rsidRPr="00802AFA">
          <w:rPr>
            <w:b w:val="0"/>
            <w:webHidden/>
          </w:rPr>
          <w:fldChar w:fldCharType="end"/>
        </w:r>
      </w:hyperlink>
    </w:p>
    <w:p w14:paraId="6EB3179C" w14:textId="70E76493"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0" w:history="1">
        <w:r w:rsidRPr="00802AFA">
          <w:rPr>
            <w:rStyle w:val="Hipercze"/>
            <w:b w:val="0"/>
          </w:rPr>
          <w:t>Tabela 5. Inne niż rekomendowane programy profilaktyczne z obszaru profilaktyki uniwersalnej realizowane na terenie gmin w latach 2021-2023</w:t>
        </w:r>
        <w:r w:rsidRPr="00802AFA">
          <w:rPr>
            <w:b w:val="0"/>
            <w:webHidden/>
          </w:rPr>
          <w:tab/>
        </w:r>
        <w:r w:rsidRPr="00802AFA">
          <w:rPr>
            <w:b w:val="0"/>
            <w:webHidden/>
          </w:rPr>
          <w:fldChar w:fldCharType="begin"/>
        </w:r>
        <w:r w:rsidRPr="00802AFA">
          <w:rPr>
            <w:b w:val="0"/>
            <w:webHidden/>
          </w:rPr>
          <w:instrText xml:space="preserve"> PAGEREF _Toc214279690 \h </w:instrText>
        </w:r>
        <w:r w:rsidRPr="00802AFA">
          <w:rPr>
            <w:b w:val="0"/>
            <w:webHidden/>
          </w:rPr>
        </w:r>
        <w:r w:rsidRPr="00802AFA">
          <w:rPr>
            <w:b w:val="0"/>
            <w:webHidden/>
          </w:rPr>
          <w:fldChar w:fldCharType="separate"/>
        </w:r>
        <w:r w:rsidRPr="00802AFA">
          <w:rPr>
            <w:b w:val="0"/>
            <w:webHidden/>
          </w:rPr>
          <w:t>25</w:t>
        </w:r>
        <w:r w:rsidRPr="00802AFA">
          <w:rPr>
            <w:b w:val="0"/>
            <w:webHidden/>
          </w:rPr>
          <w:fldChar w:fldCharType="end"/>
        </w:r>
      </w:hyperlink>
    </w:p>
    <w:p w14:paraId="679DB9B3" w14:textId="41325201"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1" w:history="1">
        <w:r w:rsidRPr="00802AFA">
          <w:rPr>
            <w:rStyle w:val="Hipercze"/>
            <w:b w:val="0"/>
          </w:rPr>
          <w:t>Tabela 6. Inne niż rekomendowane programy profilaktyczne z obszaru profilaktyki selektywnej dla młodzieży z grup ryzyka realizowane na terenie gmin w latach 2021-2023</w:t>
        </w:r>
        <w:r w:rsidRPr="00802AFA">
          <w:rPr>
            <w:b w:val="0"/>
            <w:webHidden/>
          </w:rPr>
          <w:tab/>
        </w:r>
        <w:r w:rsidRPr="00802AFA">
          <w:rPr>
            <w:b w:val="0"/>
            <w:webHidden/>
          </w:rPr>
          <w:fldChar w:fldCharType="begin"/>
        </w:r>
        <w:r w:rsidRPr="00802AFA">
          <w:rPr>
            <w:b w:val="0"/>
            <w:webHidden/>
          </w:rPr>
          <w:instrText xml:space="preserve"> PAGEREF _Toc214279691 \h </w:instrText>
        </w:r>
        <w:r w:rsidRPr="00802AFA">
          <w:rPr>
            <w:b w:val="0"/>
            <w:webHidden/>
          </w:rPr>
        </w:r>
        <w:r w:rsidRPr="00802AFA">
          <w:rPr>
            <w:b w:val="0"/>
            <w:webHidden/>
          </w:rPr>
          <w:fldChar w:fldCharType="separate"/>
        </w:r>
        <w:r w:rsidRPr="00802AFA">
          <w:rPr>
            <w:b w:val="0"/>
            <w:webHidden/>
          </w:rPr>
          <w:t>25</w:t>
        </w:r>
        <w:r w:rsidRPr="00802AFA">
          <w:rPr>
            <w:b w:val="0"/>
            <w:webHidden/>
          </w:rPr>
          <w:fldChar w:fldCharType="end"/>
        </w:r>
      </w:hyperlink>
    </w:p>
    <w:p w14:paraId="28E9F5F3" w14:textId="5FDA5595"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2" w:history="1">
        <w:r w:rsidRPr="00802AFA">
          <w:rPr>
            <w:rStyle w:val="Hipercze"/>
            <w:b w:val="0"/>
          </w:rPr>
          <w:t>Tabela 7. Inne niż rekomendowane programy profilaktyczne z obszaru profilaktyki wskazującej realizowane na terenie gmin w latach 2021-2023</w:t>
        </w:r>
        <w:r w:rsidRPr="00802AFA">
          <w:rPr>
            <w:b w:val="0"/>
            <w:webHidden/>
          </w:rPr>
          <w:tab/>
        </w:r>
        <w:r w:rsidRPr="00802AFA">
          <w:rPr>
            <w:b w:val="0"/>
            <w:webHidden/>
          </w:rPr>
          <w:fldChar w:fldCharType="begin"/>
        </w:r>
        <w:r w:rsidRPr="00802AFA">
          <w:rPr>
            <w:b w:val="0"/>
            <w:webHidden/>
          </w:rPr>
          <w:instrText xml:space="preserve"> PAGEREF _Toc214279692 \h </w:instrText>
        </w:r>
        <w:r w:rsidRPr="00802AFA">
          <w:rPr>
            <w:b w:val="0"/>
            <w:webHidden/>
          </w:rPr>
        </w:r>
        <w:r w:rsidRPr="00802AFA">
          <w:rPr>
            <w:b w:val="0"/>
            <w:webHidden/>
          </w:rPr>
          <w:fldChar w:fldCharType="separate"/>
        </w:r>
        <w:r w:rsidRPr="00802AFA">
          <w:rPr>
            <w:b w:val="0"/>
            <w:webHidden/>
          </w:rPr>
          <w:t>26</w:t>
        </w:r>
        <w:r w:rsidRPr="00802AFA">
          <w:rPr>
            <w:b w:val="0"/>
            <w:webHidden/>
          </w:rPr>
          <w:fldChar w:fldCharType="end"/>
        </w:r>
      </w:hyperlink>
    </w:p>
    <w:p w14:paraId="328D30A9" w14:textId="0E760A87"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3" w:history="1">
        <w:r w:rsidRPr="00802AFA">
          <w:rPr>
            <w:rStyle w:val="Hipercze"/>
            <w:b w:val="0"/>
          </w:rPr>
          <w:t>Tabela 8. Najważniejsze działania podjęte przez gminy na terenie województwa lubelskiego w celu zwiększenia dostępności pomocy terapeutycznej i rehabilitacyjnej dla osób uzależnionych od alkoholu i współuzależnionych w latach 2021-2023</w:t>
        </w:r>
        <w:r w:rsidRPr="00802AFA">
          <w:rPr>
            <w:b w:val="0"/>
            <w:webHidden/>
          </w:rPr>
          <w:tab/>
        </w:r>
        <w:r w:rsidRPr="00802AFA">
          <w:rPr>
            <w:b w:val="0"/>
            <w:webHidden/>
          </w:rPr>
          <w:fldChar w:fldCharType="begin"/>
        </w:r>
        <w:r w:rsidRPr="00802AFA">
          <w:rPr>
            <w:b w:val="0"/>
            <w:webHidden/>
          </w:rPr>
          <w:instrText xml:space="preserve"> PAGEREF _Toc214279693 \h </w:instrText>
        </w:r>
        <w:r w:rsidRPr="00802AFA">
          <w:rPr>
            <w:b w:val="0"/>
            <w:webHidden/>
          </w:rPr>
        </w:r>
        <w:r w:rsidRPr="00802AFA">
          <w:rPr>
            <w:b w:val="0"/>
            <w:webHidden/>
          </w:rPr>
          <w:fldChar w:fldCharType="separate"/>
        </w:r>
        <w:r w:rsidRPr="00802AFA">
          <w:rPr>
            <w:b w:val="0"/>
            <w:webHidden/>
          </w:rPr>
          <w:t>28</w:t>
        </w:r>
        <w:r w:rsidRPr="00802AFA">
          <w:rPr>
            <w:b w:val="0"/>
            <w:webHidden/>
          </w:rPr>
          <w:fldChar w:fldCharType="end"/>
        </w:r>
      </w:hyperlink>
    </w:p>
    <w:p w14:paraId="6D90A4E0" w14:textId="4F52D1CC"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4" w:history="1">
        <w:r w:rsidRPr="00802AFA">
          <w:rPr>
            <w:rStyle w:val="Hipercze"/>
            <w:b w:val="0"/>
          </w:rPr>
          <w:t>Tabela 9. Liczba placówek leczenia uzależnień od alkoholu z podziałem na typ placówki w województwie lubelskim z uwzględnieniem powiatów</w:t>
        </w:r>
        <w:r w:rsidRPr="00802AFA">
          <w:rPr>
            <w:b w:val="0"/>
            <w:webHidden/>
          </w:rPr>
          <w:tab/>
        </w:r>
        <w:r w:rsidRPr="00802AFA">
          <w:rPr>
            <w:b w:val="0"/>
            <w:webHidden/>
          </w:rPr>
          <w:fldChar w:fldCharType="begin"/>
        </w:r>
        <w:r w:rsidRPr="00802AFA">
          <w:rPr>
            <w:b w:val="0"/>
            <w:webHidden/>
          </w:rPr>
          <w:instrText xml:space="preserve"> PAGEREF _Toc214279694 \h </w:instrText>
        </w:r>
        <w:r w:rsidRPr="00802AFA">
          <w:rPr>
            <w:b w:val="0"/>
            <w:webHidden/>
          </w:rPr>
        </w:r>
        <w:r w:rsidRPr="00802AFA">
          <w:rPr>
            <w:b w:val="0"/>
            <w:webHidden/>
          </w:rPr>
          <w:fldChar w:fldCharType="separate"/>
        </w:r>
        <w:r w:rsidRPr="00802AFA">
          <w:rPr>
            <w:b w:val="0"/>
            <w:webHidden/>
          </w:rPr>
          <w:t>30</w:t>
        </w:r>
        <w:r w:rsidRPr="00802AFA">
          <w:rPr>
            <w:b w:val="0"/>
            <w:webHidden/>
          </w:rPr>
          <w:fldChar w:fldCharType="end"/>
        </w:r>
      </w:hyperlink>
    </w:p>
    <w:p w14:paraId="61120B47" w14:textId="0D685AD3"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5" w:history="1">
        <w:r w:rsidRPr="00802AFA">
          <w:rPr>
            <w:rStyle w:val="Hipercze"/>
            <w:b w:val="0"/>
          </w:rPr>
          <w:t>Tabela 10. Wypadki drogowe i ich skutki na drogach województwa lubelskiego w latach 2018-2024</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_Toc214279695 \h </w:instrText>
        </w:r>
        <w:r w:rsidRPr="00802AFA">
          <w:rPr>
            <w:b w:val="0"/>
            <w:webHidden/>
          </w:rPr>
        </w:r>
        <w:r w:rsidRPr="00802AFA">
          <w:rPr>
            <w:b w:val="0"/>
            <w:webHidden/>
          </w:rPr>
          <w:fldChar w:fldCharType="separate"/>
        </w:r>
        <w:r w:rsidRPr="00802AFA">
          <w:rPr>
            <w:b w:val="0"/>
            <w:webHidden/>
          </w:rPr>
          <w:t>33</w:t>
        </w:r>
        <w:r w:rsidRPr="00802AFA">
          <w:rPr>
            <w:b w:val="0"/>
            <w:webHidden/>
          </w:rPr>
          <w:fldChar w:fldCharType="end"/>
        </w:r>
      </w:hyperlink>
    </w:p>
    <w:p w14:paraId="0C477DD6" w14:textId="1B77C372"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6" w:history="1">
        <w:r w:rsidRPr="00802AFA">
          <w:rPr>
            <w:rStyle w:val="Hipercze"/>
            <w:b w:val="0"/>
          </w:rPr>
          <w:t>Tabela 11. Liczba wypadków drogowych i ich skutków spowodowanych przez kierujących pojazdami będących pod działaniem alkoholu w latach 2018-2024 w województwie lubelskim</w:t>
        </w:r>
        <w:r w:rsidRPr="00802AFA">
          <w:rPr>
            <w:b w:val="0"/>
            <w:webHidden/>
          </w:rPr>
          <w:tab/>
        </w:r>
        <w:r w:rsidRPr="00802AFA">
          <w:rPr>
            <w:b w:val="0"/>
            <w:webHidden/>
          </w:rPr>
          <w:fldChar w:fldCharType="begin"/>
        </w:r>
        <w:r w:rsidRPr="00802AFA">
          <w:rPr>
            <w:b w:val="0"/>
            <w:webHidden/>
          </w:rPr>
          <w:instrText xml:space="preserve"> PAGEREF _Toc214279696 \h </w:instrText>
        </w:r>
        <w:r w:rsidRPr="00802AFA">
          <w:rPr>
            <w:b w:val="0"/>
            <w:webHidden/>
          </w:rPr>
        </w:r>
        <w:r w:rsidRPr="00802AFA">
          <w:rPr>
            <w:b w:val="0"/>
            <w:webHidden/>
          </w:rPr>
          <w:fldChar w:fldCharType="separate"/>
        </w:r>
        <w:r w:rsidRPr="00802AFA">
          <w:rPr>
            <w:b w:val="0"/>
            <w:webHidden/>
          </w:rPr>
          <w:t>34</w:t>
        </w:r>
        <w:r w:rsidRPr="00802AFA">
          <w:rPr>
            <w:b w:val="0"/>
            <w:webHidden/>
          </w:rPr>
          <w:fldChar w:fldCharType="end"/>
        </w:r>
      </w:hyperlink>
    </w:p>
    <w:p w14:paraId="2DB32275" w14:textId="5C8F9E64"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7" w:history="1">
        <w:r w:rsidRPr="00802AFA">
          <w:rPr>
            <w:rStyle w:val="Hipercze"/>
            <w:b w:val="0"/>
          </w:rPr>
          <w:t>Tabela 12. Liczba ujawnionych kierujących pojazdami pod wpływem alkoholu (w stanie po użyciu oraz w stanie nietrzeźwości) w województwie lubelskim w latach 2018-2024</w:t>
        </w:r>
        <w:r w:rsidRPr="00802AFA">
          <w:rPr>
            <w:b w:val="0"/>
            <w:webHidden/>
          </w:rPr>
          <w:tab/>
        </w:r>
        <w:r w:rsidRPr="00802AFA">
          <w:rPr>
            <w:b w:val="0"/>
            <w:webHidden/>
          </w:rPr>
          <w:fldChar w:fldCharType="begin"/>
        </w:r>
        <w:r w:rsidRPr="00802AFA">
          <w:rPr>
            <w:b w:val="0"/>
            <w:webHidden/>
          </w:rPr>
          <w:instrText xml:space="preserve"> PAGEREF _Toc214279697 \h </w:instrText>
        </w:r>
        <w:r w:rsidRPr="00802AFA">
          <w:rPr>
            <w:b w:val="0"/>
            <w:webHidden/>
          </w:rPr>
        </w:r>
        <w:r w:rsidRPr="00802AFA">
          <w:rPr>
            <w:b w:val="0"/>
            <w:webHidden/>
          </w:rPr>
          <w:fldChar w:fldCharType="separate"/>
        </w:r>
        <w:r w:rsidRPr="00802AFA">
          <w:rPr>
            <w:b w:val="0"/>
            <w:webHidden/>
          </w:rPr>
          <w:t>35</w:t>
        </w:r>
        <w:r w:rsidRPr="00802AFA">
          <w:rPr>
            <w:b w:val="0"/>
            <w:webHidden/>
          </w:rPr>
          <w:fldChar w:fldCharType="end"/>
        </w:r>
      </w:hyperlink>
    </w:p>
    <w:p w14:paraId="4C3DA052" w14:textId="2F2BAEF6"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8" w:history="1">
        <w:r w:rsidRPr="00802AFA">
          <w:rPr>
            <w:rStyle w:val="Hipercze"/>
            <w:b w:val="0"/>
          </w:rPr>
          <w:t>Tabela 13. Liczba formularzy „Niebieska Karta – A” wypełnionych przez Policję w latach 2018-2024 w Polsce i w garnizonie lubelskim</w:t>
        </w:r>
        <w:r w:rsidRPr="00802AFA">
          <w:rPr>
            <w:b w:val="0"/>
            <w:webHidden/>
          </w:rPr>
          <w:tab/>
        </w:r>
        <w:r w:rsidRPr="00802AFA">
          <w:rPr>
            <w:b w:val="0"/>
            <w:webHidden/>
          </w:rPr>
          <w:fldChar w:fldCharType="begin"/>
        </w:r>
        <w:r w:rsidRPr="00802AFA">
          <w:rPr>
            <w:b w:val="0"/>
            <w:webHidden/>
          </w:rPr>
          <w:instrText xml:space="preserve"> PAGEREF _Toc214279698 \h </w:instrText>
        </w:r>
        <w:r w:rsidRPr="00802AFA">
          <w:rPr>
            <w:b w:val="0"/>
            <w:webHidden/>
          </w:rPr>
        </w:r>
        <w:r w:rsidRPr="00802AFA">
          <w:rPr>
            <w:b w:val="0"/>
            <w:webHidden/>
          </w:rPr>
          <w:fldChar w:fldCharType="separate"/>
        </w:r>
        <w:r w:rsidRPr="00802AFA">
          <w:rPr>
            <w:b w:val="0"/>
            <w:webHidden/>
          </w:rPr>
          <w:t>35</w:t>
        </w:r>
        <w:r w:rsidRPr="00802AFA">
          <w:rPr>
            <w:b w:val="0"/>
            <w:webHidden/>
          </w:rPr>
          <w:fldChar w:fldCharType="end"/>
        </w:r>
      </w:hyperlink>
    </w:p>
    <w:p w14:paraId="733C3E01" w14:textId="78D35321"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699" w:history="1">
        <w:r w:rsidRPr="00802AFA">
          <w:rPr>
            <w:rStyle w:val="Hipercze"/>
            <w:b w:val="0"/>
          </w:rPr>
          <w:t>Tabela 14. Udział osób wobec których istnieje podejrzenie, że stosują przemoc domową znajdujących się pod wpływem alkoholu, w województwie lubelskim w latach 2018-2024.</w:t>
        </w:r>
        <w:r w:rsidRPr="00802AFA">
          <w:rPr>
            <w:b w:val="0"/>
            <w:webHidden/>
          </w:rPr>
          <w:tab/>
        </w:r>
        <w:r w:rsidRPr="00802AFA">
          <w:rPr>
            <w:b w:val="0"/>
            <w:webHidden/>
          </w:rPr>
          <w:fldChar w:fldCharType="begin"/>
        </w:r>
        <w:r w:rsidRPr="00802AFA">
          <w:rPr>
            <w:b w:val="0"/>
            <w:webHidden/>
          </w:rPr>
          <w:instrText xml:space="preserve"> PAGEREF _Toc214279699 \h </w:instrText>
        </w:r>
        <w:r w:rsidRPr="00802AFA">
          <w:rPr>
            <w:b w:val="0"/>
            <w:webHidden/>
          </w:rPr>
        </w:r>
        <w:r w:rsidRPr="00802AFA">
          <w:rPr>
            <w:b w:val="0"/>
            <w:webHidden/>
          </w:rPr>
          <w:fldChar w:fldCharType="separate"/>
        </w:r>
        <w:r w:rsidRPr="00802AFA">
          <w:rPr>
            <w:b w:val="0"/>
            <w:webHidden/>
          </w:rPr>
          <w:t>36</w:t>
        </w:r>
        <w:r w:rsidRPr="00802AFA">
          <w:rPr>
            <w:b w:val="0"/>
            <w:webHidden/>
          </w:rPr>
          <w:fldChar w:fldCharType="end"/>
        </w:r>
      </w:hyperlink>
    </w:p>
    <w:p w14:paraId="6923B2DB" w14:textId="67E6937F"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0" w:history="1">
        <w:r w:rsidRPr="00802AFA">
          <w:rPr>
            <w:rStyle w:val="Hipercze"/>
            <w:b w:val="0"/>
          </w:rPr>
          <w:t>Tabela 15. Liczba sprawców z podziałem na nietrzeźwych podejrzanych w kategoriach przestępstw w województwie lubelskim w latach 2018-2024</w:t>
        </w:r>
        <w:r w:rsidRPr="00802AFA">
          <w:rPr>
            <w:b w:val="0"/>
            <w:webHidden/>
          </w:rPr>
          <w:tab/>
        </w:r>
        <w:r w:rsidRPr="00802AFA">
          <w:rPr>
            <w:b w:val="0"/>
            <w:webHidden/>
          </w:rPr>
          <w:fldChar w:fldCharType="begin"/>
        </w:r>
        <w:r w:rsidRPr="00802AFA">
          <w:rPr>
            <w:b w:val="0"/>
            <w:webHidden/>
          </w:rPr>
          <w:instrText xml:space="preserve"> PAGEREF _Toc214279700 \h </w:instrText>
        </w:r>
        <w:r w:rsidRPr="00802AFA">
          <w:rPr>
            <w:b w:val="0"/>
            <w:webHidden/>
          </w:rPr>
        </w:r>
        <w:r w:rsidRPr="00802AFA">
          <w:rPr>
            <w:b w:val="0"/>
            <w:webHidden/>
          </w:rPr>
          <w:fldChar w:fldCharType="separate"/>
        </w:r>
        <w:r w:rsidRPr="00802AFA">
          <w:rPr>
            <w:b w:val="0"/>
            <w:webHidden/>
          </w:rPr>
          <w:t>36</w:t>
        </w:r>
        <w:r w:rsidRPr="00802AFA">
          <w:rPr>
            <w:b w:val="0"/>
            <w:webHidden/>
          </w:rPr>
          <w:fldChar w:fldCharType="end"/>
        </w:r>
      </w:hyperlink>
    </w:p>
    <w:p w14:paraId="19917D90" w14:textId="20B24401"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1" w:history="1">
        <w:r w:rsidRPr="00802AFA">
          <w:rPr>
            <w:rStyle w:val="Hipercze"/>
            <w:b w:val="0"/>
          </w:rPr>
          <w:t>Tabela 16. Wyniki współpracy Samorządu Województwa Lubelskiego z organizacjami pozarządowymi w zakresie profilaktyki i rozwiązywania problemów alkoholowych w latach 2022-2023</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_Toc214279701 \h </w:instrText>
        </w:r>
        <w:r w:rsidRPr="00802AFA">
          <w:rPr>
            <w:b w:val="0"/>
            <w:webHidden/>
          </w:rPr>
        </w:r>
        <w:r w:rsidRPr="00802AFA">
          <w:rPr>
            <w:b w:val="0"/>
            <w:webHidden/>
          </w:rPr>
          <w:fldChar w:fldCharType="separate"/>
        </w:r>
        <w:r w:rsidRPr="00802AFA">
          <w:rPr>
            <w:b w:val="0"/>
            <w:webHidden/>
          </w:rPr>
          <w:t>38</w:t>
        </w:r>
        <w:r w:rsidRPr="00802AFA">
          <w:rPr>
            <w:b w:val="0"/>
            <w:webHidden/>
          </w:rPr>
          <w:fldChar w:fldCharType="end"/>
        </w:r>
      </w:hyperlink>
    </w:p>
    <w:p w14:paraId="7D8AB668" w14:textId="7E20C3E4"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2" w:history="1">
        <w:r w:rsidRPr="00802AFA">
          <w:rPr>
            <w:rStyle w:val="Hipercze"/>
            <w:b w:val="0"/>
          </w:rPr>
          <w:t>Tabela 17. Używanie NSP i/lub ŚZ przez młodzież w 2015, 2019 oraz w 2024 roku (w%)</w:t>
        </w:r>
        <w:r w:rsidRPr="00802AFA">
          <w:rPr>
            <w:b w:val="0"/>
            <w:webHidden/>
          </w:rPr>
          <w:tab/>
        </w:r>
        <w:r w:rsidRPr="00802AFA">
          <w:rPr>
            <w:b w:val="0"/>
            <w:webHidden/>
          </w:rPr>
          <w:fldChar w:fldCharType="begin"/>
        </w:r>
        <w:r w:rsidRPr="00802AFA">
          <w:rPr>
            <w:b w:val="0"/>
            <w:webHidden/>
          </w:rPr>
          <w:instrText xml:space="preserve"> PAGEREF _Toc214279702 \h </w:instrText>
        </w:r>
        <w:r w:rsidRPr="00802AFA">
          <w:rPr>
            <w:b w:val="0"/>
            <w:webHidden/>
          </w:rPr>
        </w:r>
        <w:r w:rsidRPr="00802AFA">
          <w:rPr>
            <w:b w:val="0"/>
            <w:webHidden/>
          </w:rPr>
          <w:fldChar w:fldCharType="separate"/>
        </w:r>
        <w:r w:rsidRPr="00802AFA">
          <w:rPr>
            <w:b w:val="0"/>
            <w:webHidden/>
          </w:rPr>
          <w:t>50</w:t>
        </w:r>
        <w:r w:rsidRPr="00802AFA">
          <w:rPr>
            <w:b w:val="0"/>
            <w:webHidden/>
          </w:rPr>
          <w:fldChar w:fldCharType="end"/>
        </w:r>
      </w:hyperlink>
    </w:p>
    <w:p w14:paraId="4D849D5B" w14:textId="2EBEB00A"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3" w:history="1">
        <w:r w:rsidRPr="00802AFA">
          <w:rPr>
            <w:rStyle w:val="Hipercze"/>
            <w:b w:val="0"/>
          </w:rPr>
          <w:t>Tabela 18. Liczba zatruć NSP/ŚZ w Polsce w latach 2021-2023 r. z podziałem na województwa</w:t>
        </w:r>
        <w:r w:rsidRPr="00802AFA">
          <w:rPr>
            <w:b w:val="0"/>
            <w:webHidden/>
          </w:rPr>
          <w:tab/>
        </w:r>
        <w:r w:rsidRPr="00802AFA">
          <w:rPr>
            <w:b w:val="0"/>
            <w:webHidden/>
          </w:rPr>
          <w:fldChar w:fldCharType="begin"/>
        </w:r>
        <w:r w:rsidRPr="00802AFA">
          <w:rPr>
            <w:b w:val="0"/>
            <w:webHidden/>
          </w:rPr>
          <w:instrText xml:space="preserve"> PAGEREF _Toc214279703 \h </w:instrText>
        </w:r>
        <w:r w:rsidRPr="00802AFA">
          <w:rPr>
            <w:b w:val="0"/>
            <w:webHidden/>
          </w:rPr>
        </w:r>
        <w:r w:rsidRPr="00802AFA">
          <w:rPr>
            <w:b w:val="0"/>
            <w:webHidden/>
          </w:rPr>
          <w:fldChar w:fldCharType="separate"/>
        </w:r>
        <w:r w:rsidRPr="00802AFA">
          <w:rPr>
            <w:b w:val="0"/>
            <w:webHidden/>
          </w:rPr>
          <w:t>53</w:t>
        </w:r>
        <w:r w:rsidRPr="00802AFA">
          <w:rPr>
            <w:b w:val="0"/>
            <w:webHidden/>
          </w:rPr>
          <w:fldChar w:fldCharType="end"/>
        </w:r>
      </w:hyperlink>
    </w:p>
    <w:p w14:paraId="73958359" w14:textId="59453A62"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4" w:history="1">
        <w:r w:rsidRPr="00802AFA">
          <w:rPr>
            <w:rStyle w:val="Hipercze"/>
            <w:b w:val="0"/>
          </w:rPr>
          <w:t>Tabela 19. Liczba dorosłych pacjentów wg. form leczenia</w:t>
        </w:r>
        <w:r w:rsidRPr="00802AFA">
          <w:rPr>
            <w:b w:val="0"/>
            <w:webHidden/>
          </w:rPr>
          <w:tab/>
        </w:r>
        <w:r w:rsidRPr="00802AFA">
          <w:rPr>
            <w:b w:val="0"/>
            <w:webHidden/>
          </w:rPr>
          <w:fldChar w:fldCharType="begin"/>
        </w:r>
        <w:r w:rsidRPr="00802AFA">
          <w:rPr>
            <w:b w:val="0"/>
            <w:webHidden/>
          </w:rPr>
          <w:instrText xml:space="preserve"> PAGEREF _Toc214279704 \h </w:instrText>
        </w:r>
        <w:r w:rsidRPr="00802AFA">
          <w:rPr>
            <w:b w:val="0"/>
            <w:webHidden/>
          </w:rPr>
        </w:r>
        <w:r w:rsidRPr="00802AFA">
          <w:rPr>
            <w:b w:val="0"/>
            <w:webHidden/>
          </w:rPr>
          <w:fldChar w:fldCharType="separate"/>
        </w:r>
        <w:r w:rsidRPr="00802AFA">
          <w:rPr>
            <w:b w:val="0"/>
            <w:webHidden/>
          </w:rPr>
          <w:t>57</w:t>
        </w:r>
        <w:r w:rsidRPr="00802AFA">
          <w:rPr>
            <w:b w:val="0"/>
            <w:webHidden/>
          </w:rPr>
          <w:fldChar w:fldCharType="end"/>
        </w:r>
      </w:hyperlink>
    </w:p>
    <w:p w14:paraId="49DCDEA0" w14:textId="03C66E0C"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5" w:history="1">
        <w:r w:rsidRPr="00802AFA">
          <w:rPr>
            <w:rStyle w:val="Hipercze"/>
            <w:b w:val="0"/>
          </w:rPr>
          <w:t>Tabela 20. Wyniki współpracy Samorządu Województwa Lubelskiego z organizacjami pozarządowymi w zakresie przeciwdziałania narkomanii w latach 2022-2024.</w:t>
        </w:r>
        <w:r w:rsidRPr="00802AFA">
          <w:rPr>
            <w:b w:val="0"/>
            <w:webHidden/>
          </w:rPr>
          <w:tab/>
        </w:r>
        <w:r w:rsidRPr="00802AFA">
          <w:rPr>
            <w:b w:val="0"/>
            <w:webHidden/>
          </w:rPr>
          <w:fldChar w:fldCharType="begin"/>
        </w:r>
        <w:r w:rsidRPr="00802AFA">
          <w:rPr>
            <w:b w:val="0"/>
            <w:webHidden/>
          </w:rPr>
          <w:instrText xml:space="preserve"> PAGEREF _Toc214279705 \h </w:instrText>
        </w:r>
        <w:r w:rsidRPr="00802AFA">
          <w:rPr>
            <w:b w:val="0"/>
            <w:webHidden/>
          </w:rPr>
        </w:r>
        <w:r w:rsidRPr="00802AFA">
          <w:rPr>
            <w:b w:val="0"/>
            <w:webHidden/>
          </w:rPr>
          <w:fldChar w:fldCharType="separate"/>
        </w:r>
        <w:r w:rsidRPr="00802AFA">
          <w:rPr>
            <w:b w:val="0"/>
            <w:webHidden/>
          </w:rPr>
          <w:t>62</w:t>
        </w:r>
        <w:r w:rsidRPr="00802AFA">
          <w:rPr>
            <w:b w:val="0"/>
            <w:webHidden/>
          </w:rPr>
          <w:fldChar w:fldCharType="end"/>
        </w:r>
      </w:hyperlink>
    </w:p>
    <w:p w14:paraId="39556C2E" w14:textId="1BF49F72"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6" w:history="1">
        <w:r w:rsidRPr="00802AFA">
          <w:rPr>
            <w:rStyle w:val="Hipercze"/>
            <w:b w:val="0"/>
          </w:rPr>
          <w:t>Tabela 21. Granie w gry hazardowe, tj. takie gdzie stawia się pieniądze i można je wygrać Wyniki badań ESPAD 2024</w:t>
        </w:r>
        <w:r w:rsidRPr="00802AFA">
          <w:rPr>
            <w:b w:val="0"/>
            <w:webHidden/>
          </w:rPr>
          <w:tab/>
        </w:r>
        <w:r w:rsidRPr="00802AFA">
          <w:rPr>
            <w:b w:val="0"/>
            <w:webHidden/>
          </w:rPr>
          <w:fldChar w:fldCharType="begin"/>
        </w:r>
        <w:r w:rsidRPr="00802AFA">
          <w:rPr>
            <w:b w:val="0"/>
            <w:webHidden/>
          </w:rPr>
          <w:instrText xml:space="preserve"> PAGEREF _Toc214279706 \h </w:instrText>
        </w:r>
        <w:r w:rsidRPr="00802AFA">
          <w:rPr>
            <w:b w:val="0"/>
            <w:webHidden/>
          </w:rPr>
        </w:r>
        <w:r w:rsidRPr="00802AFA">
          <w:rPr>
            <w:b w:val="0"/>
            <w:webHidden/>
          </w:rPr>
          <w:fldChar w:fldCharType="separate"/>
        </w:r>
        <w:r w:rsidRPr="00802AFA">
          <w:rPr>
            <w:b w:val="0"/>
            <w:webHidden/>
          </w:rPr>
          <w:t>67</w:t>
        </w:r>
        <w:r w:rsidRPr="00802AFA">
          <w:rPr>
            <w:b w:val="0"/>
            <w:webHidden/>
          </w:rPr>
          <w:fldChar w:fldCharType="end"/>
        </w:r>
      </w:hyperlink>
    </w:p>
    <w:p w14:paraId="1D23E233" w14:textId="4360F90D"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7" w:history="1">
        <w:r w:rsidRPr="00802AFA">
          <w:rPr>
            <w:rStyle w:val="Hipercze"/>
            <w:b w:val="0"/>
          </w:rPr>
          <w:t>Tabela 22.  Częstotliwość stawiania pieniędzy w grach hazardowych w czasie ostatnich 12 miesięcy</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_Toc214279707 \h </w:instrText>
        </w:r>
        <w:r w:rsidRPr="00802AFA">
          <w:rPr>
            <w:b w:val="0"/>
            <w:webHidden/>
          </w:rPr>
        </w:r>
        <w:r w:rsidRPr="00802AFA">
          <w:rPr>
            <w:b w:val="0"/>
            <w:webHidden/>
          </w:rPr>
          <w:fldChar w:fldCharType="separate"/>
        </w:r>
        <w:r w:rsidRPr="00802AFA">
          <w:rPr>
            <w:b w:val="0"/>
            <w:webHidden/>
          </w:rPr>
          <w:t>68</w:t>
        </w:r>
        <w:r w:rsidRPr="00802AFA">
          <w:rPr>
            <w:b w:val="0"/>
            <w:webHidden/>
          </w:rPr>
          <w:fldChar w:fldCharType="end"/>
        </w:r>
      </w:hyperlink>
    </w:p>
    <w:p w14:paraId="04A98EEE" w14:textId="026B53E6"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8" w:history="1">
        <w:r w:rsidRPr="00802AFA">
          <w:rPr>
            <w:rStyle w:val="Hipercze"/>
            <w:b w:val="0"/>
          </w:rPr>
          <w:t>Tabela 23. Czas spędzany na grach hazardowych typowego dnia w czasie ostatnich 12 miesięcy</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_Toc214279708 \h </w:instrText>
        </w:r>
        <w:r w:rsidRPr="00802AFA">
          <w:rPr>
            <w:b w:val="0"/>
            <w:webHidden/>
          </w:rPr>
        </w:r>
        <w:r w:rsidRPr="00802AFA">
          <w:rPr>
            <w:b w:val="0"/>
            <w:webHidden/>
          </w:rPr>
          <w:fldChar w:fldCharType="separate"/>
        </w:r>
        <w:r w:rsidRPr="00802AFA">
          <w:rPr>
            <w:b w:val="0"/>
            <w:webHidden/>
          </w:rPr>
          <w:t>69</w:t>
        </w:r>
        <w:r w:rsidRPr="00802AFA">
          <w:rPr>
            <w:b w:val="0"/>
            <w:webHidden/>
          </w:rPr>
          <w:fldChar w:fldCharType="end"/>
        </w:r>
      </w:hyperlink>
    </w:p>
    <w:p w14:paraId="77DCF01D" w14:textId="48AA3131"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09" w:history="1">
        <w:r w:rsidRPr="00802AFA">
          <w:rPr>
            <w:rStyle w:val="Hipercze"/>
            <w:b w:val="0"/>
          </w:rPr>
          <w:t>Tabela 24. Granie w gry hazardowe dłużej niż 2 godziny przy jednej okazji w czasie ostatnich 12 miesięcy</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_Toc214279709 \h </w:instrText>
        </w:r>
        <w:r w:rsidRPr="00802AFA">
          <w:rPr>
            <w:b w:val="0"/>
            <w:webHidden/>
          </w:rPr>
        </w:r>
        <w:r w:rsidRPr="00802AFA">
          <w:rPr>
            <w:b w:val="0"/>
            <w:webHidden/>
          </w:rPr>
          <w:fldChar w:fldCharType="separate"/>
        </w:r>
        <w:r w:rsidRPr="00802AFA">
          <w:rPr>
            <w:b w:val="0"/>
            <w:webHidden/>
          </w:rPr>
          <w:t>69</w:t>
        </w:r>
        <w:r w:rsidRPr="00802AFA">
          <w:rPr>
            <w:b w:val="0"/>
            <w:webHidden/>
          </w:rPr>
          <w:fldChar w:fldCharType="end"/>
        </w:r>
      </w:hyperlink>
    </w:p>
    <w:p w14:paraId="71F47674" w14:textId="7EA7A829"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0" w:history="1">
        <w:r w:rsidRPr="00802AFA">
          <w:rPr>
            <w:rStyle w:val="Hipercze"/>
            <w:b w:val="0"/>
          </w:rPr>
          <w:t>Tabela 25. Częstotliwość grania w poszczególne gry hazardowe w czasie ostatnich 12 miesięcy przed badaniem w miejscach takich jak bary i kluby, itp. (województwo lubelskie).</w:t>
        </w:r>
        <w:r w:rsidRPr="00802AFA">
          <w:rPr>
            <w:b w:val="0"/>
            <w:webHidden/>
          </w:rPr>
          <w:tab/>
        </w:r>
        <w:r w:rsidRPr="00802AFA">
          <w:rPr>
            <w:b w:val="0"/>
            <w:webHidden/>
          </w:rPr>
          <w:fldChar w:fldCharType="begin"/>
        </w:r>
        <w:r w:rsidRPr="00802AFA">
          <w:rPr>
            <w:b w:val="0"/>
            <w:webHidden/>
          </w:rPr>
          <w:instrText xml:space="preserve"> PAGEREF _Toc214279710 \h </w:instrText>
        </w:r>
        <w:r w:rsidRPr="00802AFA">
          <w:rPr>
            <w:b w:val="0"/>
            <w:webHidden/>
          </w:rPr>
        </w:r>
        <w:r w:rsidRPr="00802AFA">
          <w:rPr>
            <w:b w:val="0"/>
            <w:webHidden/>
          </w:rPr>
          <w:fldChar w:fldCharType="separate"/>
        </w:r>
        <w:r w:rsidRPr="00802AFA">
          <w:rPr>
            <w:b w:val="0"/>
            <w:webHidden/>
          </w:rPr>
          <w:t>70</w:t>
        </w:r>
        <w:r w:rsidRPr="00802AFA">
          <w:rPr>
            <w:b w:val="0"/>
            <w:webHidden/>
          </w:rPr>
          <w:fldChar w:fldCharType="end"/>
        </w:r>
      </w:hyperlink>
    </w:p>
    <w:p w14:paraId="4A712BF6" w14:textId="58EBCCBA"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1" w:history="1">
        <w:r w:rsidRPr="00802AFA">
          <w:rPr>
            <w:rStyle w:val="Hipercze"/>
            <w:b w:val="0"/>
          </w:rPr>
          <w:t>Tabela 26. Częstotliwość grania w poszczególne gry hazardowe w czasie ostatnich 12 miesięcy przed badaniem w miejscach takich jak bary i kluby, itp. (Polska)</w:t>
        </w:r>
        <w:r w:rsidRPr="00802AFA">
          <w:rPr>
            <w:b w:val="0"/>
            <w:webHidden/>
          </w:rPr>
          <w:tab/>
        </w:r>
        <w:r w:rsidRPr="00802AFA">
          <w:rPr>
            <w:b w:val="0"/>
            <w:webHidden/>
          </w:rPr>
          <w:fldChar w:fldCharType="begin"/>
        </w:r>
        <w:r w:rsidRPr="00802AFA">
          <w:rPr>
            <w:b w:val="0"/>
            <w:webHidden/>
          </w:rPr>
          <w:instrText xml:space="preserve"> PAGEREF _Toc214279711 \h </w:instrText>
        </w:r>
        <w:r w:rsidRPr="00802AFA">
          <w:rPr>
            <w:b w:val="0"/>
            <w:webHidden/>
          </w:rPr>
        </w:r>
        <w:r w:rsidRPr="00802AFA">
          <w:rPr>
            <w:b w:val="0"/>
            <w:webHidden/>
          </w:rPr>
          <w:fldChar w:fldCharType="separate"/>
        </w:r>
        <w:r w:rsidRPr="00802AFA">
          <w:rPr>
            <w:b w:val="0"/>
            <w:webHidden/>
          </w:rPr>
          <w:t>70</w:t>
        </w:r>
        <w:r w:rsidRPr="00802AFA">
          <w:rPr>
            <w:b w:val="0"/>
            <w:webHidden/>
          </w:rPr>
          <w:fldChar w:fldCharType="end"/>
        </w:r>
      </w:hyperlink>
    </w:p>
    <w:p w14:paraId="72B064E4" w14:textId="21C07BE4"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2" w:history="1">
        <w:r w:rsidRPr="00802AFA">
          <w:rPr>
            <w:rStyle w:val="Hipercze"/>
            <w:b w:val="0"/>
          </w:rPr>
          <w:t>Tabela 27. Częstotliwość grania w poszczególne gry hazardowe w czasie ostatnich 12 miesięcy przed badaniem przez internet (województwo lubelskie).</w:t>
        </w:r>
        <w:r w:rsidRPr="00802AFA">
          <w:rPr>
            <w:b w:val="0"/>
            <w:webHidden/>
          </w:rPr>
          <w:tab/>
        </w:r>
        <w:r w:rsidRPr="00802AFA">
          <w:rPr>
            <w:b w:val="0"/>
            <w:webHidden/>
          </w:rPr>
          <w:fldChar w:fldCharType="begin"/>
        </w:r>
        <w:r w:rsidRPr="00802AFA">
          <w:rPr>
            <w:b w:val="0"/>
            <w:webHidden/>
          </w:rPr>
          <w:instrText xml:space="preserve"> PAGEREF _Toc214279712 \h </w:instrText>
        </w:r>
        <w:r w:rsidRPr="00802AFA">
          <w:rPr>
            <w:b w:val="0"/>
            <w:webHidden/>
          </w:rPr>
        </w:r>
        <w:r w:rsidRPr="00802AFA">
          <w:rPr>
            <w:b w:val="0"/>
            <w:webHidden/>
          </w:rPr>
          <w:fldChar w:fldCharType="separate"/>
        </w:r>
        <w:r w:rsidRPr="00802AFA">
          <w:rPr>
            <w:b w:val="0"/>
            <w:webHidden/>
          </w:rPr>
          <w:t>71</w:t>
        </w:r>
        <w:r w:rsidRPr="00802AFA">
          <w:rPr>
            <w:b w:val="0"/>
            <w:webHidden/>
          </w:rPr>
          <w:fldChar w:fldCharType="end"/>
        </w:r>
      </w:hyperlink>
    </w:p>
    <w:p w14:paraId="741B6793" w14:textId="53165792"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3" w:history="1">
        <w:r w:rsidRPr="00802AFA">
          <w:rPr>
            <w:rStyle w:val="Hipercze"/>
            <w:b w:val="0"/>
          </w:rPr>
          <w:t>Tabela 28. Częstotliwość grania w poszczególne gry hazardowe w czasie ostatnich 12 miesięcy przed badaniem przez internet (Polska).</w:t>
        </w:r>
        <w:r w:rsidRPr="00802AFA">
          <w:rPr>
            <w:b w:val="0"/>
            <w:webHidden/>
          </w:rPr>
          <w:tab/>
        </w:r>
        <w:r w:rsidRPr="00802AFA">
          <w:rPr>
            <w:b w:val="0"/>
            <w:webHidden/>
          </w:rPr>
          <w:fldChar w:fldCharType="begin"/>
        </w:r>
        <w:r w:rsidRPr="00802AFA">
          <w:rPr>
            <w:b w:val="0"/>
            <w:webHidden/>
          </w:rPr>
          <w:instrText xml:space="preserve"> PAGEREF _Toc214279713 \h </w:instrText>
        </w:r>
        <w:r w:rsidRPr="00802AFA">
          <w:rPr>
            <w:b w:val="0"/>
            <w:webHidden/>
          </w:rPr>
        </w:r>
        <w:r w:rsidRPr="00802AFA">
          <w:rPr>
            <w:b w:val="0"/>
            <w:webHidden/>
          </w:rPr>
          <w:fldChar w:fldCharType="separate"/>
        </w:r>
        <w:r w:rsidRPr="00802AFA">
          <w:rPr>
            <w:b w:val="0"/>
            <w:webHidden/>
          </w:rPr>
          <w:t>72</w:t>
        </w:r>
        <w:r w:rsidRPr="00802AFA">
          <w:rPr>
            <w:b w:val="0"/>
            <w:webHidden/>
          </w:rPr>
          <w:fldChar w:fldCharType="end"/>
        </w:r>
      </w:hyperlink>
    </w:p>
    <w:p w14:paraId="5A617035" w14:textId="455DC5AE"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4" w:history="1">
        <w:r w:rsidRPr="00802AFA">
          <w:rPr>
            <w:rStyle w:val="Hipercze"/>
            <w:b w:val="0"/>
          </w:rPr>
          <w:t>Tabela 29. Symptomy grania problemowego w gry hazardowe.</w:t>
        </w:r>
        <w:r w:rsidRPr="00802AFA">
          <w:rPr>
            <w:b w:val="0"/>
            <w:webHidden/>
          </w:rPr>
          <w:tab/>
        </w:r>
        <w:r w:rsidRPr="00802AFA">
          <w:rPr>
            <w:b w:val="0"/>
            <w:webHidden/>
          </w:rPr>
          <w:fldChar w:fldCharType="begin"/>
        </w:r>
        <w:r w:rsidRPr="00802AFA">
          <w:rPr>
            <w:b w:val="0"/>
            <w:webHidden/>
          </w:rPr>
          <w:instrText xml:space="preserve"> PAGEREF _Toc214279714 \h </w:instrText>
        </w:r>
        <w:r w:rsidRPr="00802AFA">
          <w:rPr>
            <w:b w:val="0"/>
            <w:webHidden/>
          </w:rPr>
        </w:r>
        <w:r w:rsidRPr="00802AFA">
          <w:rPr>
            <w:b w:val="0"/>
            <w:webHidden/>
          </w:rPr>
          <w:fldChar w:fldCharType="separate"/>
        </w:r>
        <w:r w:rsidRPr="00802AFA">
          <w:rPr>
            <w:b w:val="0"/>
            <w:webHidden/>
          </w:rPr>
          <w:t>72</w:t>
        </w:r>
        <w:r w:rsidRPr="00802AFA">
          <w:rPr>
            <w:b w:val="0"/>
            <w:webHidden/>
          </w:rPr>
          <w:fldChar w:fldCharType="end"/>
        </w:r>
      </w:hyperlink>
    </w:p>
    <w:p w14:paraId="671A7A31" w14:textId="6E34AA94"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5" w:history="1">
        <w:r w:rsidRPr="00802AFA">
          <w:rPr>
            <w:rStyle w:val="Hipercze"/>
            <w:b w:val="0"/>
          </w:rPr>
          <w:t>Tabela 30. Granie w gry hazardowe, tj. takie gdzie stawia się pieniądze i można je wygrać.</w:t>
        </w:r>
        <w:r w:rsidRPr="00802AFA">
          <w:rPr>
            <w:b w:val="0"/>
            <w:webHidden/>
          </w:rPr>
          <w:tab/>
        </w:r>
        <w:r w:rsidRPr="00802AFA">
          <w:rPr>
            <w:b w:val="0"/>
            <w:webHidden/>
          </w:rPr>
          <w:fldChar w:fldCharType="begin"/>
        </w:r>
        <w:r w:rsidRPr="00802AFA">
          <w:rPr>
            <w:b w:val="0"/>
            <w:webHidden/>
          </w:rPr>
          <w:instrText xml:space="preserve"> PAGEREF _Toc214279715 \h </w:instrText>
        </w:r>
        <w:r w:rsidRPr="00802AFA">
          <w:rPr>
            <w:b w:val="0"/>
            <w:webHidden/>
          </w:rPr>
        </w:r>
        <w:r w:rsidRPr="00802AFA">
          <w:rPr>
            <w:b w:val="0"/>
            <w:webHidden/>
          </w:rPr>
          <w:fldChar w:fldCharType="separate"/>
        </w:r>
        <w:r w:rsidRPr="00802AFA">
          <w:rPr>
            <w:b w:val="0"/>
            <w:webHidden/>
          </w:rPr>
          <w:t>73</w:t>
        </w:r>
        <w:r w:rsidRPr="00802AFA">
          <w:rPr>
            <w:b w:val="0"/>
            <w:webHidden/>
          </w:rPr>
          <w:fldChar w:fldCharType="end"/>
        </w:r>
      </w:hyperlink>
    </w:p>
    <w:p w14:paraId="7DCE9AF0" w14:textId="6BFEEBCF"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6" w:history="1">
        <w:r w:rsidRPr="00802AFA">
          <w:rPr>
            <w:rStyle w:val="Hipercze"/>
            <w:b w:val="0"/>
          </w:rPr>
          <w:t>Tabela 31. Symptomy nadmiernego korzystania z mediów społecznościowych, takich jak Twitter, Facebook, Skype (województwo lubelskie).</w:t>
        </w:r>
        <w:r w:rsidRPr="00802AFA">
          <w:rPr>
            <w:b w:val="0"/>
            <w:webHidden/>
          </w:rPr>
          <w:tab/>
        </w:r>
        <w:r w:rsidRPr="00802AFA">
          <w:rPr>
            <w:b w:val="0"/>
            <w:webHidden/>
          </w:rPr>
          <w:fldChar w:fldCharType="begin"/>
        </w:r>
        <w:r w:rsidRPr="00802AFA">
          <w:rPr>
            <w:b w:val="0"/>
            <w:webHidden/>
          </w:rPr>
          <w:instrText xml:space="preserve"> PAGEREF _Toc214279716 \h </w:instrText>
        </w:r>
        <w:r w:rsidRPr="00802AFA">
          <w:rPr>
            <w:b w:val="0"/>
            <w:webHidden/>
          </w:rPr>
        </w:r>
        <w:r w:rsidRPr="00802AFA">
          <w:rPr>
            <w:b w:val="0"/>
            <w:webHidden/>
          </w:rPr>
          <w:fldChar w:fldCharType="separate"/>
        </w:r>
        <w:r w:rsidRPr="00802AFA">
          <w:rPr>
            <w:b w:val="0"/>
            <w:webHidden/>
          </w:rPr>
          <w:t>74</w:t>
        </w:r>
        <w:r w:rsidRPr="00802AFA">
          <w:rPr>
            <w:b w:val="0"/>
            <w:webHidden/>
          </w:rPr>
          <w:fldChar w:fldCharType="end"/>
        </w:r>
      </w:hyperlink>
    </w:p>
    <w:p w14:paraId="7A1AF407" w14:textId="5216C7DC"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7" w:history="1">
        <w:r w:rsidRPr="00802AFA">
          <w:rPr>
            <w:rStyle w:val="Hipercze"/>
            <w:b w:val="0"/>
          </w:rPr>
          <w:t>Tabela 32. Symptomy nadmiernego korzystania z mediów społecznościowych, takich jak Twitter, Facebook, Skype (Polska).</w:t>
        </w:r>
        <w:r w:rsidRPr="00802AFA">
          <w:rPr>
            <w:b w:val="0"/>
            <w:webHidden/>
          </w:rPr>
          <w:tab/>
        </w:r>
        <w:r w:rsidRPr="00802AFA">
          <w:rPr>
            <w:b w:val="0"/>
            <w:webHidden/>
          </w:rPr>
          <w:fldChar w:fldCharType="begin"/>
        </w:r>
        <w:r w:rsidRPr="00802AFA">
          <w:rPr>
            <w:b w:val="0"/>
            <w:webHidden/>
          </w:rPr>
          <w:instrText xml:space="preserve"> PAGEREF _Toc214279717 \h </w:instrText>
        </w:r>
        <w:r w:rsidRPr="00802AFA">
          <w:rPr>
            <w:b w:val="0"/>
            <w:webHidden/>
          </w:rPr>
        </w:r>
        <w:r w:rsidRPr="00802AFA">
          <w:rPr>
            <w:b w:val="0"/>
            <w:webHidden/>
          </w:rPr>
          <w:fldChar w:fldCharType="separate"/>
        </w:r>
        <w:r w:rsidRPr="00802AFA">
          <w:rPr>
            <w:b w:val="0"/>
            <w:webHidden/>
          </w:rPr>
          <w:t>74</w:t>
        </w:r>
        <w:r w:rsidRPr="00802AFA">
          <w:rPr>
            <w:b w:val="0"/>
            <w:webHidden/>
          </w:rPr>
          <w:fldChar w:fldCharType="end"/>
        </w:r>
      </w:hyperlink>
    </w:p>
    <w:p w14:paraId="7710A0B5" w14:textId="073D4406"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8" w:history="1">
        <w:r w:rsidRPr="00802AFA">
          <w:rPr>
            <w:rStyle w:val="Hipercze"/>
            <w:b w:val="0"/>
          </w:rPr>
          <w:t>Tabela 33. Czas spędzony na grach na urządzeniach elektronicznych w czasie ostatnich 7 dni (województwo lubelskie).</w:t>
        </w:r>
        <w:r w:rsidRPr="00802AFA">
          <w:rPr>
            <w:b w:val="0"/>
            <w:webHidden/>
          </w:rPr>
          <w:tab/>
        </w:r>
        <w:r w:rsidRPr="00802AFA">
          <w:rPr>
            <w:b w:val="0"/>
            <w:webHidden/>
          </w:rPr>
          <w:fldChar w:fldCharType="begin"/>
        </w:r>
        <w:r w:rsidRPr="00802AFA">
          <w:rPr>
            <w:b w:val="0"/>
            <w:webHidden/>
          </w:rPr>
          <w:instrText xml:space="preserve"> PAGEREF _Toc214279718 \h </w:instrText>
        </w:r>
        <w:r w:rsidRPr="00802AFA">
          <w:rPr>
            <w:b w:val="0"/>
            <w:webHidden/>
          </w:rPr>
        </w:r>
        <w:r w:rsidRPr="00802AFA">
          <w:rPr>
            <w:b w:val="0"/>
            <w:webHidden/>
          </w:rPr>
          <w:fldChar w:fldCharType="separate"/>
        </w:r>
        <w:r w:rsidRPr="00802AFA">
          <w:rPr>
            <w:b w:val="0"/>
            <w:webHidden/>
          </w:rPr>
          <w:t>75</w:t>
        </w:r>
        <w:r w:rsidRPr="00802AFA">
          <w:rPr>
            <w:b w:val="0"/>
            <w:webHidden/>
          </w:rPr>
          <w:fldChar w:fldCharType="end"/>
        </w:r>
      </w:hyperlink>
    </w:p>
    <w:p w14:paraId="53F23CCF" w14:textId="3F4C5C55"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19" w:history="1">
        <w:r w:rsidRPr="00802AFA">
          <w:rPr>
            <w:rStyle w:val="Hipercze"/>
            <w:b w:val="0"/>
          </w:rPr>
          <w:t>Tabela 34. Liczba dni spędzony na grach na urządzeniach elektronicznych w czasie ostatnich 7 dni</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_Toc214279719 \h </w:instrText>
        </w:r>
        <w:r w:rsidRPr="00802AFA">
          <w:rPr>
            <w:b w:val="0"/>
            <w:webHidden/>
          </w:rPr>
        </w:r>
        <w:r w:rsidRPr="00802AFA">
          <w:rPr>
            <w:b w:val="0"/>
            <w:webHidden/>
          </w:rPr>
          <w:fldChar w:fldCharType="separate"/>
        </w:r>
        <w:r w:rsidRPr="00802AFA">
          <w:rPr>
            <w:b w:val="0"/>
            <w:webHidden/>
          </w:rPr>
          <w:t>75</w:t>
        </w:r>
        <w:r w:rsidRPr="00802AFA">
          <w:rPr>
            <w:b w:val="0"/>
            <w:webHidden/>
          </w:rPr>
          <w:fldChar w:fldCharType="end"/>
        </w:r>
      </w:hyperlink>
    </w:p>
    <w:p w14:paraId="0F13B130" w14:textId="1C652928"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20" w:history="1">
        <w:r w:rsidRPr="00802AFA">
          <w:rPr>
            <w:rStyle w:val="Hipercze"/>
            <w:b w:val="0"/>
          </w:rPr>
          <w:t>Tabela 35. Symptomy nadmiernego korzystania z gier na urządzeniach elektronicznych, takich komputer, smartfon, konsola (województwo lubelskie).</w:t>
        </w:r>
        <w:r w:rsidRPr="00802AFA">
          <w:rPr>
            <w:b w:val="0"/>
            <w:webHidden/>
          </w:rPr>
          <w:tab/>
        </w:r>
        <w:r w:rsidRPr="00802AFA">
          <w:rPr>
            <w:b w:val="0"/>
            <w:webHidden/>
          </w:rPr>
          <w:fldChar w:fldCharType="begin"/>
        </w:r>
        <w:r w:rsidRPr="00802AFA">
          <w:rPr>
            <w:b w:val="0"/>
            <w:webHidden/>
          </w:rPr>
          <w:instrText xml:space="preserve"> PAGEREF _Toc214279720 \h </w:instrText>
        </w:r>
        <w:r w:rsidRPr="00802AFA">
          <w:rPr>
            <w:b w:val="0"/>
            <w:webHidden/>
          </w:rPr>
        </w:r>
        <w:r w:rsidRPr="00802AFA">
          <w:rPr>
            <w:b w:val="0"/>
            <w:webHidden/>
          </w:rPr>
          <w:fldChar w:fldCharType="separate"/>
        </w:r>
        <w:r w:rsidRPr="00802AFA">
          <w:rPr>
            <w:b w:val="0"/>
            <w:webHidden/>
          </w:rPr>
          <w:t>76</w:t>
        </w:r>
        <w:r w:rsidRPr="00802AFA">
          <w:rPr>
            <w:b w:val="0"/>
            <w:webHidden/>
          </w:rPr>
          <w:fldChar w:fldCharType="end"/>
        </w:r>
      </w:hyperlink>
    </w:p>
    <w:p w14:paraId="018125B4" w14:textId="49EA4E68"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21" w:history="1">
        <w:r w:rsidRPr="00802AFA">
          <w:rPr>
            <w:rStyle w:val="Hipercze"/>
            <w:b w:val="0"/>
          </w:rPr>
          <w:t>Tabela 36. Symptomy nadmiernego korzystania z gier na urządzeniach elektronicznych, takich komputer, smartfon, konsola (Polska)</w:t>
        </w:r>
        <w:r w:rsidRPr="00802AFA">
          <w:rPr>
            <w:b w:val="0"/>
            <w:webHidden/>
          </w:rPr>
          <w:tab/>
        </w:r>
        <w:r w:rsidRPr="00802AFA">
          <w:rPr>
            <w:b w:val="0"/>
            <w:webHidden/>
          </w:rPr>
          <w:fldChar w:fldCharType="begin"/>
        </w:r>
        <w:r w:rsidRPr="00802AFA">
          <w:rPr>
            <w:b w:val="0"/>
            <w:webHidden/>
          </w:rPr>
          <w:instrText xml:space="preserve"> PAGEREF _Toc214279721 \h </w:instrText>
        </w:r>
        <w:r w:rsidRPr="00802AFA">
          <w:rPr>
            <w:b w:val="0"/>
            <w:webHidden/>
          </w:rPr>
        </w:r>
        <w:r w:rsidRPr="00802AFA">
          <w:rPr>
            <w:b w:val="0"/>
            <w:webHidden/>
          </w:rPr>
          <w:fldChar w:fldCharType="separate"/>
        </w:r>
        <w:r w:rsidRPr="00802AFA">
          <w:rPr>
            <w:b w:val="0"/>
            <w:webHidden/>
          </w:rPr>
          <w:t>77</w:t>
        </w:r>
        <w:r w:rsidRPr="00802AFA">
          <w:rPr>
            <w:b w:val="0"/>
            <w:webHidden/>
          </w:rPr>
          <w:fldChar w:fldCharType="end"/>
        </w:r>
      </w:hyperlink>
    </w:p>
    <w:p w14:paraId="529024C2" w14:textId="62B13FBE"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722" w:history="1">
        <w:r w:rsidRPr="00802AFA">
          <w:rPr>
            <w:rStyle w:val="Hipercze"/>
            <w:b w:val="0"/>
          </w:rPr>
          <w:t>Tabela 37. Czas spędzony w mediach społecznościowych w czasie ostatnich 7 dni poprzedzających badanie przez młodzież z województwa lubelskiego w 2024 r.</w:t>
        </w:r>
        <w:r w:rsidRPr="00802AFA">
          <w:rPr>
            <w:b w:val="0"/>
            <w:webHidden/>
          </w:rPr>
          <w:tab/>
        </w:r>
        <w:r w:rsidRPr="00802AFA">
          <w:rPr>
            <w:b w:val="0"/>
            <w:webHidden/>
          </w:rPr>
          <w:fldChar w:fldCharType="begin"/>
        </w:r>
        <w:r w:rsidRPr="00802AFA">
          <w:rPr>
            <w:b w:val="0"/>
            <w:webHidden/>
          </w:rPr>
          <w:instrText xml:space="preserve"> PAGEREF _Toc214279722 \h </w:instrText>
        </w:r>
        <w:r w:rsidRPr="00802AFA">
          <w:rPr>
            <w:b w:val="0"/>
            <w:webHidden/>
          </w:rPr>
        </w:r>
        <w:r w:rsidRPr="00802AFA">
          <w:rPr>
            <w:b w:val="0"/>
            <w:webHidden/>
          </w:rPr>
          <w:fldChar w:fldCharType="separate"/>
        </w:r>
        <w:r w:rsidRPr="00802AFA">
          <w:rPr>
            <w:b w:val="0"/>
            <w:webHidden/>
          </w:rPr>
          <w:t>77</w:t>
        </w:r>
        <w:r w:rsidRPr="00802AFA">
          <w:rPr>
            <w:b w:val="0"/>
            <w:webHidden/>
          </w:rPr>
          <w:fldChar w:fldCharType="end"/>
        </w:r>
      </w:hyperlink>
    </w:p>
    <w:p w14:paraId="6640FA1B" w14:textId="7EDF136C" w:rsidR="006B262B" w:rsidRPr="00F40E21" w:rsidRDefault="004A6844" w:rsidP="00A33087">
      <w:pPr>
        <w:spacing w:after="0" w:line="240" w:lineRule="auto"/>
        <w:jc w:val="both"/>
        <w:rPr>
          <w:rFonts w:cs="Arial"/>
          <w:kern w:val="32"/>
          <w:sz w:val="22"/>
          <w:szCs w:val="22"/>
        </w:rPr>
      </w:pPr>
      <w:r w:rsidRPr="00802AFA">
        <w:rPr>
          <w:rFonts w:cs="Arial"/>
          <w:sz w:val="22"/>
          <w:szCs w:val="22"/>
        </w:rPr>
        <w:fldChar w:fldCharType="end"/>
      </w:r>
    </w:p>
    <w:p w14:paraId="65C7D431" w14:textId="77777777" w:rsidR="006B262B" w:rsidRPr="00F40E21" w:rsidRDefault="006B262B" w:rsidP="00B11CBB">
      <w:pPr>
        <w:pStyle w:val="Nagwek2"/>
      </w:pPr>
      <w:bookmarkStart w:id="121" w:name="_Toc51671030"/>
      <w:bookmarkStart w:id="122" w:name="_Toc214277572"/>
      <w:r w:rsidRPr="00F40E21">
        <w:t>Spis wykresów</w:t>
      </w:r>
      <w:bookmarkEnd w:id="121"/>
      <w:bookmarkEnd w:id="122"/>
    </w:p>
    <w:p w14:paraId="6A75A8EB" w14:textId="7BFED905" w:rsidR="00802AFA" w:rsidRPr="00802AFA" w:rsidRDefault="004A6844">
      <w:pPr>
        <w:pStyle w:val="Spisilustracji"/>
        <w:rPr>
          <w:rFonts w:asciiTheme="minorHAnsi" w:eastAsiaTheme="minorEastAsia" w:hAnsiTheme="minorHAnsi" w:cstheme="minorBidi"/>
          <w:b w:val="0"/>
          <w:kern w:val="2"/>
          <w:sz w:val="24"/>
          <w:szCs w:val="24"/>
          <w14:ligatures w14:val="standardContextual"/>
        </w:rPr>
      </w:pPr>
      <w:r w:rsidRPr="00802AFA">
        <w:rPr>
          <w:b w:val="0"/>
          <w:noProof w:val="0"/>
          <w:color w:val="000000"/>
          <w:szCs w:val="22"/>
        </w:rPr>
        <w:fldChar w:fldCharType="begin"/>
      </w:r>
      <w:r w:rsidR="006B262B" w:rsidRPr="00802AFA">
        <w:rPr>
          <w:b w:val="0"/>
          <w:noProof w:val="0"/>
          <w:color w:val="000000"/>
          <w:szCs w:val="22"/>
        </w:rPr>
        <w:instrText xml:space="preserve"> TOC \h \z \c "Wykres" </w:instrText>
      </w:r>
      <w:r w:rsidRPr="00802AFA">
        <w:rPr>
          <w:b w:val="0"/>
          <w:noProof w:val="0"/>
          <w:color w:val="000000"/>
          <w:szCs w:val="22"/>
        </w:rPr>
        <w:fldChar w:fldCharType="separate"/>
      </w:r>
      <w:hyperlink w:anchor="_Toc214279918" w:history="1">
        <w:r w:rsidR="00802AFA" w:rsidRPr="00802AFA">
          <w:rPr>
            <w:rStyle w:val="Hipercze"/>
            <w:b w:val="0"/>
          </w:rPr>
          <w:t>Wykres 1. Używanie poszczególnych rodzajów alkoholu przez młodych dorosłych ciągu ostatnich 30 dni – województwo lubelskie</w:t>
        </w:r>
        <w:r w:rsidR="00802AFA" w:rsidRPr="00802AFA">
          <w:rPr>
            <w:b w:val="0"/>
            <w:webHidden/>
          </w:rPr>
          <w:tab/>
        </w:r>
        <w:r w:rsidR="00802AFA" w:rsidRPr="00802AFA">
          <w:rPr>
            <w:b w:val="0"/>
            <w:webHidden/>
          </w:rPr>
          <w:fldChar w:fldCharType="begin"/>
        </w:r>
        <w:r w:rsidR="00802AFA" w:rsidRPr="00802AFA">
          <w:rPr>
            <w:b w:val="0"/>
            <w:webHidden/>
          </w:rPr>
          <w:instrText xml:space="preserve"> PAGEREF _Toc214279918 \h </w:instrText>
        </w:r>
        <w:r w:rsidR="00802AFA" w:rsidRPr="00802AFA">
          <w:rPr>
            <w:b w:val="0"/>
            <w:webHidden/>
          </w:rPr>
        </w:r>
        <w:r w:rsidR="00802AFA" w:rsidRPr="00802AFA">
          <w:rPr>
            <w:b w:val="0"/>
            <w:webHidden/>
          </w:rPr>
          <w:fldChar w:fldCharType="separate"/>
        </w:r>
        <w:r w:rsidR="00802AFA" w:rsidRPr="00802AFA">
          <w:rPr>
            <w:b w:val="0"/>
            <w:webHidden/>
          </w:rPr>
          <w:t>4</w:t>
        </w:r>
        <w:r w:rsidR="00802AFA" w:rsidRPr="00802AFA">
          <w:rPr>
            <w:b w:val="0"/>
            <w:webHidden/>
          </w:rPr>
          <w:fldChar w:fldCharType="end"/>
        </w:r>
      </w:hyperlink>
    </w:p>
    <w:p w14:paraId="3EDE2BA5" w14:textId="62FC056D"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19" w:history="1">
        <w:r w:rsidRPr="00802AFA">
          <w:rPr>
            <w:rStyle w:val="Hipercze"/>
            <w:b w:val="0"/>
          </w:rPr>
          <w:t>Wykres 2. Używanie poszczególnych rodzajów alkoholu przez osoby dorosłe w wieku od 25 do 44 lat, w ciągu ostatnich 30 dni - województwo lubelskie</w:t>
        </w:r>
        <w:r w:rsidRPr="00802AFA">
          <w:rPr>
            <w:b w:val="0"/>
            <w:webHidden/>
          </w:rPr>
          <w:tab/>
        </w:r>
        <w:r w:rsidRPr="00802AFA">
          <w:rPr>
            <w:b w:val="0"/>
            <w:webHidden/>
          </w:rPr>
          <w:fldChar w:fldCharType="begin"/>
        </w:r>
        <w:r w:rsidRPr="00802AFA">
          <w:rPr>
            <w:b w:val="0"/>
            <w:webHidden/>
          </w:rPr>
          <w:instrText xml:space="preserve"> PAGEREF _Toc214279919 \h </w:instrText>
        </w:r>
        <w:r w:rsidRPr="00802AFA">
          <w:rPr>
            <w:b w:val="0"/>
            <w:webHidden/>
          </w:rPr>
        </w:r>
        <w:r w:rsidRPr="00802AFA">
          <w:rPr>
            <w:b w:val="0"/>
            <w:webHidden/>
          </w:rPr>
          <w:fldChar w:fldCharType="separate"/>
        </w:r>
        <w:r w:rsidRPr="00802AFA">
          <w:rPr>
            <w:b w:val="0"/>
            <w:webHidden/>
          </w:rPr>
          <w:t>5</w:t>
        </w:r>
        <w:r w:rsidRPr="00802AFA">
          <w:rPr>
            <w:b w:val="0"/>
            <w:webHidden/>
          </w:rPr>
          <w:fldChar w:fldCharType="end"/>
        </w:r>
      </w:hyperlink>
    </w:p>
    <w:p w14:paraId="6C3D1E79" w14:textId="4D11910C"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0" w:history="1">
        <w:r w:rsidRPr="00802AFA">
          <w:rPr>
            <w:rStyle w:val="Hipercze"/>
            <w:b w:val="0"/>
          </w:rPr>
          <w:t>Wykres 3. Używanie poszczególnych rodzajów alkoholu przez osoby dorosłe w wieku od 45 do 64 lat, w ciągu ostatnich 30 dni - województwo lubelskie</w:t>
        </w:r>
        <w:r w:rsidRPr="00802AFA">
          <w:rPr>
            <w:b w:val="0"/>
            <w:webHidden/>
          </w:rPr>
          <w:tab/>
        </w:r>
        <w:r w:rsidRPr="00802AFA">
          <w:rPr>
            <w:b w:val="0"/>
            <w:webHidden/>
          </w:rPr>
          <w:fldChar w:fldCharType="begin"/>
        </w:r>
        <w:r w:rsidRPr="00802AFA">
          <w:rPr>
            <w:b w:val="0"/>
            <w:webHidden/>
          </w:rPr>
          <w:instrText xml:space="preserve"> PAGEREF _Toc214279920 \h </w:instrText>
        </w:r>
        <w:r w:rsidRPr="00802AFA">
          <w:rPr>
            <w:b w:val="0"/>
            <w:webHidden/>
          </w:rPr>
        </w:r>
        <w:r w:rsidRPr="00802AFA">
          <w:rPr>
            <w:b w:val="0"/>
            <w:webHidden/>
          </w:rPr>
          <w:fldChar w:fldCharType="separate"/>
        </w:r>
        <w:r w:rsidRPr="00802AFA">
          <w:rPr>
            <w:b w:val="0"/>
            <w:webHidden/>
          </w:rPr>
          <w:t>6</w:t>
        </w:r>
        <w:r w:rsidRPr="00802AFA">
          <w:rPr>
            <w:b w:val="0"/>
            <w:webHidden/>
          </w:rPr>
          <w:fldChar w:fldCharType="end"/>
        </w:r>
      </w:hyperlink>
    </w:p>
    <w:p w14:paraId="7FC6F75F" w14:textId="475E0C21"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1" w:history="1">
        <w:r w:rsidRPr="00802AFA">
          <w:rPr>
            <w:rStyle w:val="Hipercze"/>
            <w:b w:val="0"/>
          </w:rPr>
          <w:t>Wykres 4. Używanie poszczególnych rodzajów alkoholu przez osoby dorosłe w wieku od 65 do 85 lat, w ciągu ostatnich 30 dni - województwo lubelskie</w:t>
        </w:r>
        <w:r w:rsidRPr="00802AFA">
          <w:rPr>
            <w:b w:val="0"/>
            <w:webHidden/>
          </w:rPr>
          <w:tab/>
        </w:r>
        <w:r w:rsidRPr="00802AFA">
          <w:rPr>
            <w:b w:val="0"/>
            <w:webHidden/>
          </w:rPr>
          <w:fldChar w:fldCharType="begin"/>
        </w:r>
        <w:r w:rsidRPr="00802AFA">
          <w:rPr>
            <w:b w:val="0"/>
            <w:webHidden/>
          </w:rPr>
          <w:instrText xml:space="preserve"> PAGEREF _Toc214279921 \h </w:instrText>
        </w:r>
        <w:r w:rsidRPr="00802AFA">
          <w:rPr>
            <w:b w:val="0"/>
            <w:webHidden/>
          </w:rPr>
        </w:r>
        <w:r w:rsidRPr="00802AFA">
          <w:rPr>
            <w:b w:val="0"/>
            <w:webHidden/>
          </w:rPr>
          <w:fldChar w:fldCharType="separate"/>
        </w:r>
        <w:r w:rsidRPr="00802AFA">
          <w:rPr>
            <w:b w:val="0"/>
            <w:webHidden/>
          </w:rPr>
          <w:t>7</w:t>
        </w:r>
        <w:r w:rsidRPr="00802AFA">
          <w:rPr>
            <w:b w:val="0"/>
            <w:webHidden/>
          </w:rPr>
          <w:fldChar w:fldCharType="end"/>
        </w:r>
      </w:hyperlink>
    </w:p>
    <w:p w14:paraId="0F0CFB9D" w14:textId="786B0C70"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2" w:history="1">
        <w:r w:rsidRPr="00802AFA">
          <w:rPr>
            <w:rStyle w:val="Hipercze"/>
            <w:b w:val="0"/>
          </w:rPr>
          <w:t>Wykres 5. Używanie poszczególnych rodzajów alkoholu w latach 2006, 2019, 2025 – województwo lubelskie</w:t>
        </w:r>
        <w:r w:rsidRPr="00802AFA">
          <w:rPr>
            <w:b w:val="0"/>
            <w:webHidden/>
          </w:rPr>
          <w:tab/>
        </w:r>
        <w:r>
          <w:rPr>
            <w:b w:val="0"/>
            <w:webHidden/>
          </w:rPr>
          <w:t>……………………………………………………………………………………………………</w:t>
        </w:r>
        <w:r w:rsidRPr="00802AFA">
          <w:rPr>
            <w:b w:val="0"/>
            <w:webHidden/>
          </w:rPr>
          <w:fldChar w:fldCharType="begin"/>
        </w:r>
        <w:r w:rsidRPr="00802AFA">
          <w:rPr>
            <w:b w:val="0"/>
            <w:webHidden/>
          </w:rPr>
          <w:instrText xml:space="preserve"> PAGEREF _Toc214279922 \h </w:instrText>
        </w:r>
        <w:r w:rsidRPr="00802AFA">
          <w:rPr>
            <w:b w:val="0"/>
            <w:webHidden/>
          </w:rPr>
        </w:r>
        <w:r w:rsidRPr="00802AFA">
          <w:rPr>
            <w:b w:val="0"/>
            <w:webHidden/>
          </w:rPr>
          <w:fldChar w:fldCharType="separate"/>
        </w:r>
        <w:r w:rsidRPr="00802AFA">
          <w:rPr>
            <w:b w:val="0"/>
            <w:webHidden/>
          </w:rPr>
          <w:t>8</w:t>
        </w:r>
        <w:r w:rsidRPr="00802AFA">
          <w:rPr>
            <w:b w:val="0"/>
            <w:webHidden/>
          </w:rPr>
          <w:fldChar w:fldCharType="end"/>
        </w:r>
      </w:hyperlink>
    </w:p>
    <w:p w14:paraId="001D7282" w14:textId="0BE4EEF3"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3" w:history="1">
        <w:r w:rsidRPr="00802AFA">
          <w:rPr>
            <w:rStyle w:val="Hipercze"/>
            <w:b w:val="0"/>
          </w:rPr>
          <w:t>Wykres 6. Problemy doświadczane przez osoby badane w wyniku używania alkoholu w ciągu ostatnich 12 miesięcy</w:t>
        </w:r>
        <w:r w:rsidRPr="00802AFA">
          <w:rPr>
            <w:b w:val="0"/>
            <w:webHidden/>
          </w:rPr>
          <w:tab/>
        </w:r>
        <w:r w:rsidRPr="00802AFA">
          <w:rPr>
            <w:b w:val="0"/>
            <w:webHidden/>
          </w:rPr>
          <w:fldChar w:fldCharType="begin"/>
        </w:r>
        <w:r w:rsidRPr="00802AFA">
          <w:rPr>
            <w:b w:val="0"/>
            <w:webHidden/>
          </w:rPr>
          <w:instrText xml:space="preserve"> PAGEREF _Toc214279923 \h </w:instrText>
        </w:r>
        <w:r w:rsidRPr="00802AFA">
          <w:rPr>
            <w:b w:val="0"/>
            <w:webHidden/>
          </w:rPr>
        </w:r>
        <w:r w:rsidRPr="00802AFA">
          <w:rPr>
            <w:b w:val="0"/>
            <w:webHidden/>
          </w:rPr>
          <w:fldChar w:fldCharType="separate"/>
        </w:r>
        <w:r w:rsidRPr="00802AFA">
          <w:rPr>
            <w:b w:val="0"/>
            <w:webHidden/>
          </w:rPr>
          <w:t>9</w:t>
        </w:r>
        <w:r w:rsidRPr="00802AFA">
          <w:rPr>
            <w:b w:val="0"/>
            <w:webHidden/>
          </w:rPr>
          <w:fldChar w:fldCharType="end"/>
        </w:r>
      </w:hyperlink>
    </w:p>
    <w:p w14:paraId="04BE88BF" w14:textId="31B03134"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4" w:history="1">
        <w:r w:rsidRPr="00802AFA">
          <w:rPr>
            <w:rStyle w:val="Hipercze"/>
            <w:b w:val="0"/>
          </w:rPr>
          <w:t>Wykres 7. Problemy doświadczane przez osoby badane w wyniku używania alkoholu w ciągu ostatnich 12 miesięcy na przestrzeni lat 2006 – 2025</w:t>
        </w:r>
        <w:r w:rsidRPr="00802AFA">
          <w:rPr>
            <w:b w:val="0"/>
            <w:webHidden/>
          </w:rPr>
          <w:tab/>
        </w:r>
        <w:r w:rsidRPr="00802AFA">
          <w:rPr>
            <w:b w:val="0"/>
            <w:webHidden/>
          </w:rPr>
          <w:fldChar w:fldCharType="begin"/>
        </w:r>
        <w:r w:rsidRPr="00802AFA">
          <w:rPr>
            <w:b w:val="0"/>
            <w:webHidden/>
          </w:rPr>
          <w:instrText xml:space="preserve"> PAGEREF _Toc214279924 \h </w:instrText>
        </w:r>
        <w:r w:rsidRPr="00802AFA">
          <w:rPr>
            <w:b w:val="0"/>
            <w:webHidden/>
          </w:rPr>
        </w:r>
        <w:r w:rsidRPr="00802AFA">
          <w:rPr>
            <w:b w:val="0"/>
            <w:webHidden/>
          </w:rPr>
          <w:fldChar w:fldCharType="separate"/>
        </w:r>
        <w:r w:rsidRPr="00802AFA">
          <w:rPr>
            <w:b w:val="0"/>
            <w:webHidden/>
          </w:rPr>
          <w:t>10</w:t>
        </w:r>
        <w:r w:rsidRPr="00802AFA">
          <w:rPr>
            <w:b w:val="0"/>
            <w:webHidden/>
          </w:rPr>
          <w:fldChar w:fldCharType="end"/>
        </w:r>
      </w:hyperlink>
    </w:p>
    <w:p w14:paraId="1C90BE9D" w14:textId="247ED2E8"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5" w:history="1">
        <w:r w:rsidRPr="00802AFA">
          <w:rPr>
            <w:rStyle w:val="Hipercze"/>
            <w:b w:val="0"/>
          </w:rPr>
          <w:t>Wykres 8. Okazje używania alkoholu</w:t>
        </w:r>
        <w:r w:rsidRPr="00802AFA">
          <w:rPr>
            <w:b w:val="0"/>
            <w:webHidden/>
          </w:rPr>
          <w:tab/>
        </w:r>
        <w:r w:rsidRPr="00802AFA">
          <w:rPr>
            <w:b w:val="0"/>
            <w:webHidden/>
          </w:rPr>
          <w:fldChar w:fldCharType="begin"/>
        </w:r>
        <w:r w:rsidRPr="00802AFA">
          <w:rPr>
            <w:b w:val="0"/>
            <w:webHidden/>
          </w:rPr>
          <w:instrText xml:space="preserve"> PAGEREF _Toc214279925 \h </w:instrText>
        </w:r>
        <w:r w:rsidRPr="00802AFA">
          <w:rPr>
            <w:b w:val="0"/>
            <w:webHidden/>
          </w:rPr>
        </w:r>
        <w:r w:rsidRPr="00802AFA">
          <w:rPr>
            <w:b w:val="0"/>
            <w:webHidden/>
          </w:rPr>
          <w:fldChar w:fldCharType="separate"/>
        </w:r>
        <w:r w:rsidRPr="00802AFA">
          <w:rPr>
            <w:b w:val="0"/>
            <w:webHidden/>
          </w:rPr>
          <w:t>11</w:t>
        </w:r>
        <w:r w:rsidRPr="00802AFA">
          <w:rPr>
            <w:b w:val="0"/>
            <w:webHidden/>
          </w:rPr>
          <w:fldChar w:fldCharType="end"/>
        </w:r>
      </w:hyperlink>
    </w:p>
    <w:p w14:paraId="77ED49DC" w14:textId="003E63AB"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6" w:history="1">
        <w:r w:rsidRPr="00802AFA">
          <w:rPr>
            <w:rStyle w:val="Hipercze"/>
            <w:b w:val="0"/>
          </w:rPr>
          <w:t>Wykres 9. Przyczyny używania alkoholu</w:t>
        </w:r>
        <w:r w:rsidRPr="00802AFA">
          <w:rPr>
            <w:b w:val="0"/>
            <w:webHidden/>
          </w:rPr>
          <w:tab/>
        </w:r>
        <w:r w:rsidRPr="00802AFA">
          <w:rPr>
            <w:b w:val="0"/>
            <w:webHidden/>
          </w:rPr>
          <w:fldChar w:fldCharType="begin"/>
        </w:r>
        <w:r w:rsidRPr="00802AFA">
          <w:rPr>
            <w:b w:val="0"/>
            <w:webHidden/>
          </w:rPr>
          <w:instrText xml:space="preserve"> PAGEREF _Toc214279926 \h </w:instrText>
        </w:r>
        <w:r w:rsidRPr="00802AFA">
          <w:rPr>
            <w:b w:val="0"/>
            <w:webHidden/>
          </w:rPr>
        </w:r>
        <w:r w:rsidRPr="00802AFA">
          <w:rPr>
            <w:b w:val="0"/>
            <w:webHidden/>
          </w:rPr>
          <w:fldChar w:fldCharType="separate"/>
        </w:r>
        <w:r w:rsidRPr="00802AFA">
          <w:rPr>
            <w:b w:val="0"/>
            <w:webHidden/>
          </w:rPr>
          <w:t>12</w:t>
        </w:r>
        <w:r w:rsidRPr="00802AFA">
          <w:rPr>
            <w:b w:val="0"/>
            <w:webHidden/>
          </w:rPr>
          <w:fldChar w:fldCharType="end"/>
        </w:r>
      </w:hyperlink>
    </w:p>
    <w:p w14:paraId="6537791D" w14:textId="428F029F"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7" w:history="1">
        <w:r w:rsidRPr="00802AFA">
          <w:rPr>
            <w:rStyle w:val="Hipercze"/>
            <w:b w:val="0"/>
          </w:rPr>
          <w:t>Wykres 10. Używanie alkoholu, a inne osoby</w:t>
        </w:r>
        <w:r w:rsidRPr="00802AFA">
          <w:rPr>
            <w:b w:val="0"/>
            <w:webHidden/>
          </w:rPr>
          <w:tab/>
        </w:r>
        <w:r w:rsidRPr="00802AFA">
          <w:rPr>
            <w:b w:val="0"/>
            <w:webHidden/>
          </w:rPr>
          <w:fldChar w:fldCharType="begin"/>
        </w:r>
        <w:r w:rsidRPr="00802AFA">
          <w:rPr>
            <w:b w:val="0"/>
            <w:webHidden/>
          </w:rPr>
          <w:instrText xml:space="preserve"> PAGEREF _Toc214279927 \h </w:instrText>
        </w:r>
        <w:r w:rsidRPr="00802AFA">
          <w:rPr>
            <w:b w:val="0"/>
            <w:webHidden/>
          </w:rPr>
        </w:r>
        <w:r w:rsidRPr="00802AFA">
          <w:rPr>
            <w:b w:val="0"/>
            <w:webHidden/>
          </w:rPr>
          <w:fldChar w:fldCharType="separate"/>
        </w:r>
        <w:r w:rsidRPr="00802AFA">
          <w:rPr>
            <w:b w:val="0"/>
            <w:webHidden/>
          </w:rPr>
          <w:t>13</w:t>
        </w:r>
        <w:r w:rsidRPr="00802AFA">
          <w:rPr>
            <w:b w:val="0"/>
            <w:webHidden/>
          </w:rPr>
          <w:fldChar w:fldCharType="end"/>
        </w:r>
      </w:hyperlink>
    </w:p>
    <w:p w14:paraId="1C2E3D41" w14:textId="3E5A4B72"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8" w:history="1">
        <w:r w:rsidRPr="00802AFA">
          <w:rPr>
            <w:rStyle w:val="Hipercze"/>
            <w:b w:val="0"/>
          </w:rPr>
          <w:t>Wykres 11. Upojenie alkoholowe</w:t>
        </w:r>
        <w:r w:rsidRPr="00802AFA">
          <w:rPr>
            <w:b w:val="0"/>
            <w:webHidden/>
          </w:rPr>
          <w:tab/>
        </w:r>
        <w:r w:rsidRPr="00802AFA">
          <w:rPr>
            <w:b w:val="0"/>
            <w:webHidden/>
          </w:rPr>
          <w:fldChar w:fldCharType="begin"/>
        </w:r>
        <w:r w:rsidRPr="00802AFA">
          <w:rPr>
            <w:b w:val="0"/>
            <w:webHidden/>
          </w:rPr>
          <w:instrText xml:space="preserve"> PAGEREF _Toc214279928 \h </w:instrText>
        </w:r>
        <w:r w:rsidRPr="00802AFA">
          <w:rPr>
            <w:b w:val="0"/>
            <w:webHidden/>
          </w:rPr>
        </w:r>
        <w:r w:rsidRPr="00802AFA">
          <w:rPr>
            <w:b w:val="0"/>
            <w:webHidden/>
          </w:rPr>
          <w:fldChar w:fldCharType="separate"/>
        </w:r>
        <w:r w:rsidRPr="00802AFA">
          <w:rPr>
            <w:b w:val="0"/>
            <w:webHidden/>
          </w:rPr>
          <w:t>14</w:t>
        </w:r>
        <w:r w:rsidRPr="00802AFA">
          <w:rPr>
            <w:b w:val="0"/>
            <w:webHidden/>
          </w:rPr>
          <w:fldChar w:fldCharType="end"/>
        </w:r>
      </w:hyperlink>
    </w:p>
    <w:p w14:paraId="34F0B9C9" w14:textId="476E037F"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29" w:history="1">
        <w:r w:rsidRPr="00802AFA">
          <w:rPr>
            <w:rStyle w:val="Hipercze"/>
            <w:b w:val="0"/>
          </w:rPr>
          <w:t>Wykres 1</w:t>
        </w:r>
        <w:r w:rsidR="00C23750">
          <w:rPr>
            <w:rStyle w:val="Hipercze"/>
            <w:b w:val="0"/>
          </w:rPr>
          <w:t>2</w:t>
        </w:r>
        <w:r w:rsidRPr="00802AFA">
          <w:rPr>
            <w:rStyle w:val="Hipercze"/>
            <w:b w:val="0"/>
          </w:rPr>
          <w:t>. Używanie mniej popularnych substancji psychoaktywnych</w:t>
        </w:r>
        <w:r w:rsidRPr="00802AFA">
          <w:rPr>
            <w:b w:val="0"/>
            <w:webHidden/>
          </w:rPr>
          <w:tab/>
        </w:r>
        <w:r w:rsidRPr="00802AFA">
          <w:rPr>
            <w:b w:val="0"/>
            <w:webHidden/>
          </w:rPr>
          <w:fldChar w:fldCharType="begin"/>
        </w:r>
        <w:r w:rsidRPr="00802AFA">
          <w:rPr>
            <w:b w:val="0"/>
            <w:webHidden/>
          </w:rPr>
          <w:instrText xml:space="preserve"> PAGEREF _Toc214279929 \h </w:instrText>
        </w:r>
        <w:r w:rsidRPr="00802AFA">
          <w:rPr>
            <w:b w:val="0"/>
            <w:webHidden/>
          </w:rPr>
        </w:r>
        <w:r w:rsidRPr="00802AFA">
          <w:rPr>
            <w:b w:val="0"/>
            <w:webHidden/>
          </w:rPr>
          <w:fldChar w:fldCharType="separate"/>
        </w:r>
        <w:r w:rsidRPr="00802AFA">
          <w:rPr>
            <w:b w:val="0"/>
            <w:webHidden/>
          </w:rPr>
          <w:t>44</w:t>
        </w:r>
        <w:r w:rsidRPr="00802AFA">
          <w:rPr>
            <w:b w:val="0"/>
            <w:webHidden/>
          </w:rPr>
          <w:fldChar w:fldCharType="end"/>
        </w:r>
      </w:hyperlink>
    </w:p>
    <w:p w14:paraId="12141F53" w14:textId="398B3A19"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30" w:history="1">
        <w:r w:rsidRPr="00802AFA">
          <w:rPr>
            <w:rStyle w:val="Hipercze"/>
            <w:b w:val="0"/>
          </w:rPr>
          <w:t>Wykres 1</w:t>
        </w:r>
        <w:r w:rsidR="00C23750">
          <w:rPr>
            <w:rStyle w:val="Hipercze"/>
            <w:b w:val="0"/>
          </w:rPr>
          <w:t>3</w:t>
        </w:r>
        <w:r w:rsidRPr="00802AFA">
          <w:rPr>
            <w:rStyle w:val="Hipercze"/>
            <w:b w:val="0"/>
          </w:rPr>
          <w:t>. Używanie pozostałych substancji psychoaktywnych</w:t>
        </w:r>
        <w:r w:rsidRPr="00802AFA">
          <w:rPr>
            <w:b w:val="0"/>
            <w:webHidden/>
          </w:rPr>
          <w:tab/>
        </w:r>
        <w:r w:rsidRPr="00802AFA">
          <w:rPr>
            <w:b w:val="0"/>
            <w:webHidden/>
          </w:rPr>
          <w:fldChar w:fldCharType="begin"/>
        </w:r>
        <w:r w:rsidRPr="00802AFA">
          <w:rPr>
            <w:b w:val="0"/>
            <w:webHidden/>
          </w:rPr>
          <w:instrText xml:space="preserve"> PAGEREF _Toc214279930 \h </w:instrText>
        </w:r>
        <w:r w:rsidRPr="00802AFA">
          <w:rPr>
            <w:b w:val="0"/>
            <w:webHidden/>
          </w:rPr>
        </w:r>
        <w:r w:rsidRPr="00802AFA">
          <w:rPr>
            <w:b w:val="0"/>
            <w:webHidden/>
          </w:rPr>
          <w:fldChar w:fldCharType="separate"/>
        </w:r>
        <w:r w:rsidRPr="00802AFA">
          <w:rPr>
            <w:b w:val="0"/>
            <w:webHidden/>
          </w:rPr>
          <w:t>46</w:t>
        </w:r>
        <w:r w:rsidRPr="00802AFA">
          <w:rPr>
            <w:b w:val="0"/>
            <w:webHidden/>
          </w:rPr>
          <w:fldChar w:fldCharType="end"/>
        </w:r>
      </w:hyperlink>
    </w:p>
    <w:p w14:paraId="29027BAF" w14:textId="26656056" w:rsidR="00802AFA" w:rsidRPr="00802AFA" w:rsidRDefault="00802AFA">
      <w:pPr>
        <w:pStyle w:val="Spisilustracji"/>
        <w:rPr>
          <w:rFonts w:asciiTheme="minorHAnsi" w:eastAsiaTheme="minorEastAsia" w:hAnsiTheme="minorHAnsi" w:cstheme="minorBidi"/>
          <w:b w:val="0"/>
          <w:kern w:val="2"/>
          <w:sz w:val="24"/>
          <w:szCs w:val="24"/>
          <w14:ligatures w14:val="standardContextual"/>
        </w:rPr>
      </w:pPr>
      <w:hyperlink w:anchor="_Toc214279931" w:history="1">
        <w:r w:rsidRPr="00802AFA">
          <w:rPr>
            <w:rStyle w:val="Hipercze"/>
            <w:b w:val="0"/>
          </w:rPr>
          <w:t>Wykres 1</w:t>
        </w:r>
        <w:r w:rsidR="00C23750">
          <w:rPr>
            <w:rStyle w:val="Hipercze"/>
            <w:b w:val="0"/>
          </w:rPr>
          <w:t>4</w:t>
        </w:r>
        <w:r w:rsidRPr="00802AFA">
          <w:rPr>
            <w:rStyle w:val="Hipercze"/>
            <w:b w:val="0"/>
          </w:rPr>
          <w:t>. Wiek inicjacji poszczególnych substancji psychoaktywnych</w:t>
        </w:r>
        <w:r w:rsidRPr="00802AFA">
          <w:rPr>
            <w:b w:val="0"/>
            <w:webHidden/>
          </w:rPr>
          <w:tab/>
        </w:r>
        <w:r w:rsidRPr="00802AFA">
          <w:rPr>
            <w:b w:val="0"/>
            <w:webHidden/>
          </w:rPr>
          <w:fldChar w:fldCharType="begin"/>
        </w:r>
        <w:r w:rsidRPr="00802AFA">
          <w:rPr>
            <w:b w:val="0"/>
            <w:webHidden/>
          </w:rPr>
          <w:instrText xml:space="preserve"> PAGEREF _Toc214279931 \h </w:instrText>
        </w:r>
        <w:r w:rsidRPr="00802AFA">
          <w:rPr>
            <w:b w:val="0"/>
            <w:webHidden/>
          </w:rPr>
        </w:r>
        <w:r w:rsidRPr="00802AFA">
          <w:rPr>
            <w:b w:val="0"/>
            <w:webHidden/>
          </w:rPr>
          <w:fldChar w:fldCharType="separate"/>
        </w:r>
        <w:r w:rsidRPr="00802AFA">
          <w:rPr>
            <w:b w:val="0"/>
            <w:webHidden/>
          </w:rPr>
          <w:t>47</w:t>
        </w:r>
        <w:r w:rsidRPr="00802AFA">
          <w:rPr>
            <w:b w:val="0"/>
            <w:webHidden/>
          </w:rPr>
          <w:fldChar w:fldCharType="end"/>
        </w:r>
      </w:hyperlink>
    </w:p>
    <w:p w14:paraId="2897148A" w14:textId="5F4FBBD1" w:rsidR="0061127F" w:rsidRDefault="004A6844" w:rsidP="00716053">
      <w:pPr>
        <w:tabs>
          <w:tab w:val="left" w:pos="709"/>
        </w:tabs>
        <w:spacing w:after="120" w:line="360" w:lineRule="auto"/>
        <w:jc w:val="both"/>
        <w:rPr>
          <w:rFonts w:cs="Arial"/>
          <w:color w:val="000000"/>
          <w:sz w:val="22"/>
          <w:szCs w:val="22"/>
        </w:rPr>
      </w:pPr>
      <w:r w:rsidRPr="00802AFA">
        <w:rPr>
          <w:rFonts w:cs="Arial"/>
          <w:color w:val="000000"/>
          <w:sz w:val="22"/>
          <w:szCs w:val="22"/>
        </w:rPr>
        <w:fldChar w:fldCharType="end"/>
      </w:r>
    </w:p>
    <w:p w14:paraId="083EDC53" w14:textId="77777777" w:rsidR="00D213D6" w:rsidRPr="00D213D6" w:rsidRDefault="00D213D6" w:rsidP="00D213D6">
      <w:pPr>
        <w:rPr>
          <w:rFonts w:cs="Arial"/>
          <w:sz w:val="22"/>
          <w:szCs w:val="22"/>
        </w:rPr>
      </w:pPr>
    </w:p>
    <w:p w14:paraId="362AEF0C" w14:textId="77777777" w:rsidR="00D213D6" w:rsidRDefault="00D213D6" w:rsidP="00D213D6">
      <w:pPr>
        <w:rPr>
          <w:rFonts w:cs="Arial"/>
          <w:color w:val="000000"/>
          <w:sz w:val="22"/>
          <w:szCs w:val="22"/>
        </w:rPr>
      </w:pPr>
    </w:p>
    <w:p w14:paraId="2505C44A" w14:textId="69481E20" w:rsidR="00D213D6" w:rsidRPr="00D213D6" w:rsidRDefault="00D213D6" w:rsidP="00D213D6">
      <w:pPr>
        <w:tabs>
          <w:tab w:val="left" w:pos="3631"/>
        </w:tabs>
        <w:rPr>
          <w:rFonts w:cs="Arial"/>
          <w:sz w:val="22"/>
          <w:szCs w:val="22"/>
        </w:rPr>
      </w:pPr>
      <w:r>
        <w:rPr>
          <w:rFonts w:cs="Arial"/>
          <w:sz w:val="22"/>
          <w:szCs w:val="22"/>
        </w:rPr>
        <w:tab/>
      </w:r>
    </w:p>
    <w:sectPr w:rsidR="00D213D6" w:rsidRPr="00D213D6" w:rsidSect="008D235F">
      <w:headerReference w:type="default" r:id="rId23"/>
      <w:footerReference w:type="default" r:id="rId24"/>
      <w:pgSz w:w="11906" w:h="16838"/>
      <w:pgMar w:top="1600" w:right="1274" w:bottom="1417"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5F08" w14:textId="77777777" w:rsidR="003834C7" w:rsidRPr="00FF0687" w:rsidRDefault="003834C7" w:rsidP="006B262B">
      <w:pPr>
        <w:spacing w:after="0" w:line="240" w:lineRule="auto"/>
      </w:pPr>
      <w:r w:rsidRPr="00FF0687">
        <w:separator/>
      </w:r>
    </w:p>
  </w:endnote>
  <w:endnote w:type="continuationSeparator" w:id="0">
    <w:p w14:paraId="279F62DB" w14:textId="77777777" w:rsidR="003834C7" w:rsidRPr="00FF0687" w:rsidRDefault="003834C7" w:rsidP="006B262B">
      <w:pPr>
        <w:spacing w:after="0" w:line="240" w:lineRule="auto"/>
      </w:pPr>
      <w:r w:rsidRPr="00FF0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057E" w14:textId="77777777" w:rsidR="00A85D10" w:rsidRPr="00FF0687" w:rsidRDefault="00373CBF">
    <w:pPr>
      <w:jc w:val="right"/>
    </w:pPr>
    <w:r w:rsidRPr="00FF0687">
      <w:fldChar w:fldCharType="begin"/>
    </w:r>
    <w:r w:rsidRPr="00FF0687">
      <w:instrText>PAGE   \* MERGEFORMAT</w:instrText>
    </w:r>
    <w:r w:rsidRPr="00FF0687">
      <w:fldChar w:fldCharType="separate"/>
    </w:r>
    <w:r w:rsidRPr="00FF0687">
      <w:t>46</w:t>
    </w:r>
    <w:r w:rsidRPr="00FF0687">
      <w:fldChar w:fldCharType="end"/>
    </w:r>
  </w:p>
  <w:p w14:paraId="53C29B13" w14:textId="77777777" w:rsidR="00A85D10" w:rsidRPr="00FF0687" w:rsidRDefault="00A85D10" w:rsidP="00D018F5">
    <w:pPr>
      <w:pStyle w:val="HTML-wstpniesformatowany"/>
      <w:jc w:val="center"/>
      <w:rPr>
        <w:rFonts w:ascii="Arial" w:hAnsi="Arial" w:cs="Arial"/>
        <w:sz w:val="16"/>
        <w:szCs w:val="16"/>
      </w:rPr>
    </w:pPr>
    <w:r w:rsidRPr="00FF0687">
      <w:rPr>
        <w:rFonts w:ascii="Arial" w:hAnsi="Arial" w:cs="Arial"/>
        <w:sz w:val="16"/>
        <w:szCs w:val="16"/>
      </w:rPr>
      <w:t>Załącznik do uchwały nr   ………………… Sejmiku Województwa Lubelskiego z dnia………………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876F" w14:textId="77777777" w:rsidR="003834C7" w:rsidRPr="00FF0687" w:rsidRDefault="003834C7" w:rsidP="006B262B">
      <w:pPr>
        <w:spacing w:after="0" w:line="240" w:lineRule="auto"/>
      </w:pPr>
      <w:r w:rsidRPr="00FF0687">
        <w:separator/>
      </w:r>
    </w:p>
  </w:footnote>
  <w:footnote w:type="continuationSeparator" w:id="0">
    <w:p w14:paraId="0A4ECFF4" w14:textId="77777777" w:rsidR="003834C7" w:rsidRPr="00FF0687" w:rsidRDefault="003834C7" w:rsidP="006B262B">
      <w:pPr>
        <w:spacing w:after="0" w:line="240" w:lineRule="auto"/>
      </w:pPr>
      <w:r w:rsidRPr="00FF0687">
        <w:continuationSeparator/>
      </w:r>
    </w:p>
  </w:footnote>
  <w:footnote w:id="1">
    <w:p w14:paraId="12B460A5" w14:textId="0334DF70" w:rsidR="00C7010E" w:rsidRPr="0054713D" w:rsidRDefault="00C7010E">
      <w:pPr>
        <w:pStyle w:val="Tekstprzypisudolnego"/>
        <w:rPr>
          <w:sz w:val="18"/>
          <w:szCs w:val="14"/>
        </w:rPr>
      </w:pPr>
      <w:r w:rsidRPr="0054713D">
        <w:rPr>
          <w:rStyle w:val="Odwoanieprzypisudolnego"/>
          <w:sz w:val="18"/>
          <w:szCs w:val="14"/>
        </w:rPr>
        <w:footnoteRef/>
      </w:r>
      <w:r w:rsidRPr="0054713D">
        <w:rPr>
          <w:sz w:val="18"/>
          <w:szCs w:val="14"/>
        </w:rPr>
        <w:t xml:space="preserve"> Raport z badania prowadzonego w województwie lubelskim zgodnie z Europejskim Programem Badań Ankietowych w Szkołach ESPAD 2015, 2019, 2024</w:t>
      </w:r>
    </w:p>
  </w:footnote>
  <w:footnote w:id="2">
    <w:p w14:paraId="704701EB" w14:textId="77777777"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3">
    <w:p w14:paraId="6F217AB8" w14:textId="77777777"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4">
    <w:p w14:paraId="726DE9D7" w14:textId="77777777"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5">
    <w:p w14:paraId="7DB0C6D3" w14:textId="0FCFCE02"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00C7010E">
        <w:rPr>
          <w:rFonts w:cs="Arial"/>
          <w:i/>
          <w:iCs/>
          <w:sz w:val="16"/>
          <w:szCs w:val="16"/>
        </w:rPr>
        <w:t>Tamże.</w:t>
      </w:r>
    </w:p>
  </w:footnote>
  <w:footnote w:id="6">
    <w:p w14:paraId="01C8983F" w14:textId="58388C08" w:rsidR="00955250" w:rsidRPr="00FE5C64" w:rsidRDefault="00955250" w:rsidP="00955250">
      <w:pPr>
        <w:pStyle w:val="Tekstprzypisudolnego"/>
        <w:jc w:val="both"/>
        <w:rPr>
          <w:rFonts w:cs="Arial"/>
          <w:sz w:val="16"/>
          <w:szCs w:val="16"/>
        </w:rPr>
      </w:pPr>
      <w:r w:rsidRPr="00FE5C64">
        <w:rPr>
          <w:rStyle w:val="Odwoanieprzypisudolnego"/>
          <w:rFonts w:cs="Arial"/>
          <w:sz w:val="16"/>
          <w:szCs w:val="16"/>
        </w:rPr>
        <w:footnoteRef/>
      </w:r>
      <w:r w:rsidRPr="00FE5C64">
        <w:rPr>
          <w:rFonts w:cs="Arial"/>
          <w:i/>
          <w:iCs/>
          <w:sz w:val="16"/>
          <w:szCs w:val="16"/>
        </w:rPr>
        <w:t>Rekomendacje do realizowania i finansowania gminnych programów…w 202</w:t>
      </w:r>
      <w:r w:rsidR="00C7010E">
        <w:rPr>
          <w:rFonts w:cs="Arial"/>
          <w:i/>
          <w:iCs/>
          <w:sz w:val="16"/>
          <w:szCs w:val="16"/>
        </w:rPr>
        <w:t>5</w:t>
      </w:r>
      <w:r w:rsidRPr="00FE5C64">
        <w:rPr>
          <w:rFonts w:cs="Arial"/>
          <w:i/>
          <w:iCs/>
          <w:sz w:val="16"/>
          <w:szCs w:val="16"/>
        </w:rPr>
        <w:t xml:space="preserve"> roku</w:t>
      </w:r>
      <w:r w:rsidRPr="00FE5C64">
        <w:rPr>
          <w:rFonts w:cs="Arial"/>
          <w:sz w:val="16"/>
          <w:szCs w:val="16"/>
        </w:rPr>
        <w:t xml:space="preserve">, </w:t>
      </w:r>
      <w:r w:rsidR="003D7A5B">
        <w:rPr>
          <w:rFonts w:cs="Arial"/>
          <w:sz w:val="16"/>
          <w:szCs w:val="16"/>
        </w:rPr>
        <w:t>KCPU</w:t>
      </w:r>
      <w:r w:rsidRPr="00FE5C64">
        <w:rPr>
          <w:rFonts w:cs="Arial"/>
          <w:sz w:val="16"/>
          <w:szCs w:val="16"/>
        </w:rPr>
        <w:t>, Warszawa 202</w:t>
      </w:r>
      <w:r w:rsidR="00C7010E">
        <w:rPr>
          <w:rFonts w:cs="Arial"/>
          <w:sz w:val="16"/>
          <w:szCs w:val="16"/>
        </w:rPr>
        <w:t>4</w:t>
      </w:r>
      <w:r w:rsidRPr="00FE5C64">
        <w:rPr>
          <w:rFonts w:cs="Arial"/>
          <w:sz w:val="16"/>
          <w:szCs w:val="16"/>
        </w:rPr>
        <w:t>.</w:t>
      </w:r>
    </w:p>
  </w:footnote>
  <w:footnote w:id="7">
    <w:p w14:paraId="0422EDE5" w14:textId="172388AA" w:rsidR="001676E4" w:rsidRPr="00FF0687" w:rsidRDefault="001676E4" w:rsidP="001676E4">
      <w:pPr>
        <w:pStyle w:val="Tekstprzypisudolnego"/>
        <w:spacing w:line="276" w:lineRule="auto"/>
        <w:ind w:left="142" w:hanging="142"/>
        <w:jc w:val="both"/>
        <w:rPr>
          <w:rFonts w:cs="Arial"/>
          <w:sz w:val="16"/>
          <w:szCs w:val="16"/>
        </w:rPr>
      </w:pPr>
      <w:r w:rsidRPr="00FF0687">
        <w:rPr>
          <w:rStyle w:val="Odwoanieprzypisudolnego"/>
          <w:rFonts w:cs="Arial"/>
          <w:sz w:val="16"/>
          <w:szCs w:val="16"/>
        </w:rPr>
        <w:footnoteRef/>
      </w:r>
      <w:bookmarkStart w:id="28" w:name="_Hlk44584987"/>
      <w:r w:rsidRPr="00FF0687">
        <w:rPr>
          <w:rFonts w:cs="Arial"/>
          <w:i/>
          <w:iCs/>
          <w:sz w:val="16"/>
          <w:szCs w:val="16"/>
        </w:rPr>
        <w:t>Rekomendacje do realizowania i finansowania gminnych programów…w</w:t>
      </w:r>
      <w:r w:rsidR="003D7A5B">
        <w:rPr>
          <w:rFonts w:cs="Arial"/>
          <w:i/>
          <w:iCs/>
          <w:sz w:val="16"/>
          <w:szCs w:val="16"/>
        </w:rPr>
        <w:t xml:space="preserve"> </w:t>
      </w:r>
      <w:r w:rsidRPr="00FF0687">
        <w:rPr>
          <w:rFonts w:cs="Arial"/>
          <w:i/>
          <w:iCs/>
          <w:sz w:val="16"/>
          <w:szCs w:val="16"/>
        </w:rPr>
        <w:t>2019 roku</w:t>
      </w:r>
      <w:r w:rsidRPr="00FF0687">
        <w:rPr>
          <w:rFonts w:cs="Arial"/>
          <w:sz w:val="16"/>
          <w:szCs w:val="16"/>
        </w:rPr>
        <w:t>, PARPA, Warszawa 2018</w:t>
      </w:r>
      <w:bookmarkEnd w:id="28"/>
      <w:r w:rsidRPr="00FF0687">
        <w:rPr>
          <w:rFonts w:cs="Arial"/>
          <w:sz w:val="16"/>
          <w:szCs w:val="16"/>
        </w:rPr>
        <w:t>.</w:t>
      </w:r>
    </w:p>
  </w:footnote>
  <w:footnote w:id="8">
    <w:p w14:paraId="4B0D1D38" w14:textId="29299B01" w:rsidR="001676E4" w:rsidRPr="00FF0687" w:rsidRDefault="001676E4" w:rsidP="001676E4">
      <w:pPr>
        <w:pStyle w:val="Tekstprzypisudolnego"/>
        <w:spacing w:line="276" w:lineRule="auto"/>
        <w:ind w:left="284" w:hanging="284"/>
        <w:jc w:val="both"/>
        <w:rPr>
          <w:rFonts w:cs="Arial"/>
          <w:sz w:val="16"/>
          <w:szCs w:val="16"/>
          <w:highlight w:val="yellow"/>
        </w:rPr>
      </w:pPr>
      <w:r w:rsidRPr="00FF0687">
        <w:rPr>
          <w:rStyle w:val="Odwoanieprzypisudolnego"/>
          <w:rFonts w:cs="Arial"/>
          <w:sz w:val="16"/>
          <w:szCs w:val="16"/>
        </w:rPr>
        <w:footnoteRef/>
      </w:r>
      <w:r w:rsidRPr="00FF0687">
        <w:rPr>
          <w:rFonts w:cs="Arial"/>
          <w:i/>
          <w:iCs/>
          <w:sz w:val="16"/>
          <w:szCs w:val="16"/>
        </w:rPr>
        <w:t>Ocena Zasobów Pomocy Społecznej za</w:t>
      </w:r>
      <w:r w:rsidR="003D7A5B">
        <w:rPr>
          <w:rFonts w:cs="Arial"/>
          <w:i/>
          <w:iCs/>
          <w:sz w:val="16"/>
          <w:szCs w:val="16"/>
        </w:rPr>
        <w:t xml:space="preserve"> </w:t>
      </w:r>
      <w:r w:rsidRPr="00FF0687">
        <w:rPr>
          <w:rFonts w:cs="Arial"/>
          <w:i/>
          <w:iCs/>
          <w:sz w:val="16"/>
          <w:szCs w:val="16"/>
        </w:rPr>
        <w:t>2021</w:t>
      </w:r>
      <w:r>
        <w:rPr>
          <w:rFonts w:cs="Arial"/>
          <w:i/>
          <w:iCs/>
          <w:sz w:val="16"/>
          <w:szCs w:val="16"/>
        </w:rPr>
        <w:t>/2022 r. /2023/2024 r.</w:t>
      </w:r>
      <w:r w:rsidRPr="00FF0687">
        <w:rPr>
          <w:rFonts w:cs="Arial"/>
          <w:i/>
          <w:iCs/>
          <w:sz w:val="16"/>
          <w:szCs w:val="16"/>
        </w:rPr>
        <w:t xml:space="preserve"> rok</w:t>
      </w:r>
      <w:r w:rsidRPr="00FF0687">
        <w:rPr>
          <w:rFonts w:cs="Arial"/>
          <w:sz w:val="16"/>
          <w:szCs w:val="16"/>
        </w:rPr>
        <w:t>, Regionalny Ośrodek Polityki Społecznej w Lublinie.</w:t>
      </w:r>
    </w:p>
  </w:footnote>
  <w:footnote w:id="9">
    <w:p w14:paraId="5126BB91" w14:textId="184DA7AB"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bookmarkStart w:id="30" w:name="_Hlk49332589"/>
      <w:r w:rsidRPr="00FF0687">
        <w:rPr>
          <w:rFonts w:cs="Arial"/>
          <w:i/>
          <w:iCs/>
          <w:sz w:val="16"/>
          <w:szCs w:val="16"/>
        </w:rPr>
        <w:t>Rekomendacje do realizowania i finansowania gminnych programów…w</w:t>
      </w:r>
      <w:r w:rsidR="003D7A5B">
        <w:rPr>
          <w:rFonts w:cs="Arial"/>
          <w:i/>
          <w:iCs/>
          <w:sz w:val="16"/>
          <w:szCs w:val="16"/>
        </w:rPr>
        <w:t xml:space="preserve"> </w:t>
      </w:r>
      <w:r w:rsidRPr="00FF0687">
        <w:rPr>
          <w:rFonts w:cs="Arial"/>
          <w:i/>
          <w:iCs/>
          <w:sz w:val="16"/>
          <w:szCs w:val="16"/>
        </w:rPr>
        <w:t>202</w:t>
      </w:r>
      <w:r w:rsidR="002C6CA5">
        <w:rPr>
          <w:rFonts w:cs="Arial"/>
          <w:i/>
          <w:iCs/>
          <w:sz w:val="16"/>
          <w:szCs w:val="16"/>
        </w:rPr>
        <w:t>5</w:t>
      </w:r>
      <w:r w:rsidRPr="00FF0687">
        <w:rPr>
          <w:rFonts w:cs="Arial"/>
          <w:i/>
          <w:iCs/>
          <w:sz w:val="16"/>
          <w:szCs w:val="16"/>
        </w:rPr>
        <w:t xml:space="preserve"> roku</w:t>
      </w:r>
      <w:r w:rsidRPr="00FF0687">
        <w:rPr>
          <w:rFonts w:cs="Arial"/>
          <w:sz w:val="16"/>
          <w:szCs w:val="16"/>
        </w:rPr>
        <w:t xml:space="preserve">, </w:t>
      </w:r>
      <w:r w:rsidR="003D7A5B">
        <w:rPr>
          <w:rFonts w:cs="Arial"/>
          <w:sz w:val="16"/>
          <w:szCs w:val="16"/>
        </w:rPr>
        <w:t>KCPU</w:t>
      </w:r>
      <w:r w:rsidRPr="00FF0687">
        <w:rPr>
          <w:rFonts w:cs="Arial"/>
          <w:sz w:val="16"/>
          <w:szCs w:val="16"/>
        </w:rPr>
        <w:t>, Warszawa 20</w:t>
      </w:r>
      <w:r w:rsidR="002C6CA5">
        <w:rPr>
          <w:rFonts w:cs="Arial"/>
          <w:sz w:val="16"/>
          <w:szCs w:val="16"/>
        </w:rPr>
        <w:t>24</w:t>
      </w:r>
      <w:bookmarkEnd w:id="30"/>
      <w:r w:rsidRPr="00FF0687">
        <w:rPr>
          <w:rFonts w:cs="Arial"/>
          <w:sz w:val="16"/>
          <w:szCs w:val="16"/>
        </w:rPr>
        <w:t>.</w:t>
      </w:r>
    </w:p>
  </w:footnote>
  <w:footnote w:id="10">
    <w:p w14:paraId="55F69BCA" w14:textId="77777777" w:rsidR="001676E4" w:rsidRPr="00FF0687" w:rsidRDefault="001676E4" w:rsidP="001676E4">
      <w:pPr>
        <w:pStyle w:val="Tekstprzypisudolnego"/>
        <w:ind w:left="142" w:hanging="142"/>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11">
    <w:p w14:paraId="70C386B9" w14:textId="77777777" w:rsidR="001676E4" w:rsidRPr="00FF0687" w:rsidRDefault="001676E4" w:rsidP="001676E4">
      <w:pPr>
        <w:pStyle w:val="Tekstprzypisudolnego"/>
        <w:tabs>
          <w:tab w:val="left" w:pos="426"/>
        </w:tabs>
        <w:jc w:val="both"/>
        <w:rPr>
          <w:rFonts w:cs="Arial"/>
          <w:sz w:val="16"/>
          <w:szCs w:val="16"/>
        </w:rPr>
      </w:pPr>
      <w:r w:rsidRPr="00FF0687">
        <w:rPr>
          <w:rStyle w:val="Odwoanieprzypisudolnego"/>
          <w:rFonts w:cs="Arial"/>
          <w:sz w:val="16"/>
          <w:szCs w:val="16"/>
        </w:rPr>
        <w:footnoteRef/>
      </w:r>
      <w:r w:rsidRPr="00D90AAF">
        <w:rPr>
          <w:rFonts w:cs="Arial"/>
          <w:sz w:val="16"/>
          <w:szCs w:val="16"/>
        </w:rPr>
        <w:t>Rejestr Centrów Integracji Społecznej w województwie lubelskim</w:t>
      </w:r>
    </w:p>
  </w:footnote>
  <w:footnote w:id="12">
    <w:p w14:paraId="18144818" w14:textId="77777777" w:rsidR="001676E4" w:rsidRPr="00FF0687" w:rsidRDefault="001676E4" w:rsidP="001676E4">
      <w:pPr>
        <w:pStyle w:val="Tekstprzypisudolnego"/>
        <w:jc w:val="both"/>
        <w:rPr>
          <w:rFonts w:cs="Arial"/>
          <w:sz w:val="16"/>
          <w:szCs w:val="16"/>
        </w:rPr>
      </w:pPr>
      <w:r w:rsidRPr="00524C69">
        <w:rPr>
          <w:rStyle w:val="Odwoanieprzypisudolnego"/>
          <w:rFonts w:cs="Arial"/>
          <w:sz w:val="16"/>
          <w:szCs w:val="16"/>
        </w:rPr>
        <w:footnoteRef/>
      </w:r>
      <w:r w:rsidRPr="00524C69">
        <w:rPr>
          <w:rFonts w:cs="Arial"/>
          <w:i/>
          <w:iCs/>
          <w:sz w:val="16"/>
          <w:szCs w:val="16"/>
        </w:rPr>
        <w:t>Rekomendacje i wytyczne do realizacji gminnych programów profilaktyki i rozwiązywania problemów alkoholowych oraz przeciwdziałania narkomanii w 2025 roku</w:t>
      </w:r>
      <w:r w:rsidRPr="00524C69">
        <w:rPr>
          <w:rFonts w:cs="Arial"/>
          <w:sz w:val="16"/>
          <w:szCs w:val="16"/>
        </w:rPr>
        <w:t>, KCPU, Warszawa 2024.</w:t>
      </w:r>
    </w:p>
  </w:footnote>
  <w:footnote w:id="13">
    <w:p w14:paraId="5D1E6EF3" w14:textId="77777777" w:rsidR="001676E4" w:rsidRPr="00524C69" w:rsidRDefault="001676E4" w:rsidP="001676E4">
      <w:pPr>
        <w:pStyle w:val="Tekstprzypisudolnego"/>
        <w:jc w:val="both"/>
        <w:rPr>
          <w:rFonts w:cs="Arial"/>
          <w:sz w:val="16"/>
          <w:szCs w:val="16"/>
        </w:rPr>
      </w:pPr>
      <w:r w:rsidRPr="00524C69">
        <w:rPr>
          <w:rStyle w:val="Odwoanieprzypisudolnego"/>
          <w:rFonts w:cs="Arial"/>
          <w:sz w:val="16"/>
          <w:szCs w:val="16"/>
        </w:rPr>
        <w:footnoteRef/>
      </w:r>
      <w:r w:rsidRPr="00524C69">
        <w:rPr>
          <w:rFonts w:cs="Arial"/>
          <w:i/>
          <w:iCs/>
          <w:sz w:val="16"/>
          <w:szCs w:val="16"/>
        </w:rPr>
        <w:t>Rekomendacje do realizowania i finansowania gminnych programów…w 2025 roku</w:t>
      </w:r>
      <w:r w:rsidRPr="00524C69">
        <w:rPr>
          <w:rFonts w:cs="Arial"/>
          <w:sz w:val="16"/>
          <w:szCs w:val="16"/>
        </w:rPr>
        <w:t>, KCPU, Warszawa 2024.</w:t>
      </w:r>
    </w:p>
  </w:footnote>
  <w:footnote w:id="14">
    <w:p w14:paraId="73933CE3" w14:textId="77777777" w:rsidR="001676E4" w:rsidRPr="00524C69" w:rsidRDefault="001676E4" w:rsidP="001676E4">
      <w:pPr>
        <w:pStyle w:val="Tekstprzypisudolnego"/>
        <w:spacing w:line="276" w:lineRule="auto"/>
        <w:ind w:left="142" w:hanging="142"/>
        <w:jc w:val="both"/>
        <w:rPr>
          <w:rFonts w:cs="Arial"/>
          <w:sz w:val="16"/>
          <w:szCs w:val="16"/>
        </w:rPr>
      </w:pPr>
      <w:r w:rsidRPr="00524C69">
        <w:rPr>
          <w:rStyle w:val="Odwoanieprzypisudolnego"/>
          <w:rFonts w:cs="Arial"/>
          <w:sz w:val="16"/>
          <w:szCs w:val="16"/>
        </w:rPr>
        <w:footnoteRef/>
      </w:r>
      <w:r w:rsidRPr="00524C69">
        <w:rPr>
          <w:rFonts w:cs="Arial"/>
          <w:sz w:val="16"/>
          <w:szCs w:val="16"/>
        </w:rPr>
        <w:t xml:space="preserve"> Lista programów rekomendowanych </w:t>
      </w:r>
      <w:hyperlink r:id="rId1" w:history="1">
        <w:r w:rsidRPr="00524C69">
          <w:rPr>
            <w:rStyle w:val="Hipercze"/>
            <w:rFonts w:cs="Arial"/>
            <w:sz w:val="16"/>
            <w:szCs w:val="16"/>
          </w:rPr>
          <w:t>Lista programów rekomendowanych</w:t>
        </w:r>
      </w:hyperlink>
      <w:r w:rsidRPr="00524C69">
        <w:rPr>
          <w:rFonts w:cs="Arial"/>
          <w:sz w:val="16"/>
          <w:szCs w:val="16"/>
        </w:rPr>
        <w:t xml:space="preserve"> (odczyt: 03.09.2025 r.) </w:t>
      </w:r>
    </w:p>
  </w:footnote>
  <w:footnote w:id="15">
    <w:p w14:paraId="7293BDC8" w14:textId="77777777" w:rsidR="001676E4" w:rsidRPr="00524C69" w:rsidRDefault="001676E4" w:rsidP="001676E4">
      <w:pPr>
        <w:pStyle w:val="Tekstprzypisudolnego"/>
        <w:jc w:val="both"/>
        <w:rPr>
          <w:rFonts w:cs="Arial"/>
          <w:sz w:val="16"/>
          <w:szCs w:val="16"/>
        </w:rPr>
      </w:pPr>
      <w:r w:rsidRPr="00524C69">
        <w:rPr>
          <w:rStyle w:val="Odwoanieprzypisudolnego"/>
          <w:rFonts w:cs="Arial"/>
          <w:sz w:val="16"/>
          <w:szCs w:val="16"/>
        </w:rPr>
        <w:footnoteRef/>
      </w:r>
      <w:hyperlink r:id="rId2" w:history="1">
        <w:r w:rsidRPr="00524C69">
          <w:rPr>
            <w:rStyle w:val="Hipercze"/>
            <w:rFonts w:cs="Arial"/>
            <w:sz w:val="16"/>
            <w:szCs w:val="16"/>
          </w:rPr>
          <w:t>Strategie w ramach programów rekomendowanych</w:t>
        </w:r>
      </w:hyperlink>
      <w:bookmarkStart w:id="31" w:name="_Hlk109989895"/>
      <w:r w:rsidRPr="00524C69">
        <w:rPr>
          <w:rFonts w:cs="Arial"/>
          <w:sz w:val="16"/>
          <w:szCs w:val="16"/>
        </w:rPr>
        <w:t>(odczyt: 03.09.2025 r.)</w:t>
      </w:r>
      <w:bookmarkEnd w:id="31"/>
    </w:p>
  </w:footnote>
  <w:footnote w:id="16">
    <w:p w14:paraId="28E4A276" w14:textId="77777777" w:rsidR="001676E4" w:rsidRPr="00FF0687" w:rsidRDefault="001676E4" w:rsidP="001676E4">
      <w:pPr>
        <w:pStyle w:val="Tekstprzypisudolnego"/>
        <w:jc w:val="both"/>
        <w:rPr>
          <w:rFonts w:cs="Arial"/>
          <w:sz w:val="16"/>
          <w:szCs w:val="16"/>
        </w:rPr>
      </w:pPr>
      <w:r w:rsidRPr="00524C69">
        <w:rPr>
          <w:rStyle w:val="Odwoanieprzypisudolnego"/>
          <w:rFonts w:cs="Arial"/>
          <w:sz w:val="16"/>
          <w:szCs w:val="16"/>
        </w:rPr>
        <w:footnoteRef/>
      </w:r>
      <w:r w:rsidRPr="00524C69">
        <w:rPr>
          <w:rFonts w:cs="Arial"/>
          <w:i/>
          <w:iCs/>
          <w:sz w:val="16"/>
          <w:szCs w:val="16"/>
        </w:rPr>
        <w:t>Rekomendacje do realizowania i finansowania gminnych programów…w 2025 roku</w:t>
      </w:r>
      <w:r w:rsidRPr="00524C69">
        <w:rPr>
          <w:rFonts w:cs="Arial"/>
          <w:sz w:val="16"/>
          <w:szCs w:val="16"/>
        </w:rPr>
        <w:t>, KCPU, Warszawa 2024.</w:t>
      </w:r>
    </w:p>
  </w:footnote>
  <w:footnote w:id="17">
    <w:p w14:paraId="663945A2" w14:textId="77777777"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r w:rsidRPr="00FF0687">
        <w:rPr>
          <w:rFonts w:cs="Arial"/>
          <w:i/>
          <w:iCs/>
          <w:sz w:val="16"/>
          <w:szCs w:val="16"/>
        </w:rPr>
        <w:t>Profilaktyka i rozwiązywanie problemów alkoholowych w Polsce w samorządach gminnych…</w:t>
      </w:r>
    </w:p>
  </w:footnote>
  <w:footnote w:id="18">
    <w:p w14:paraId="3E313D9B" w14:textId="2BDE7F68"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bookmarkStart w:id="39" w:name="_Hlk51584192"/>
      <w:bookmarkStart w:id="40" w:name="_Hlk49434050"/>
      <w:r w:rsidRPr="00FF0687">
        <w:rPr>
          <w:rFonts w:cs="Arial"/>
          <w:i/>
          <w:iCs/>
          <w:sz w:val="16"/>
          <w:szCs w:val="16"/>
        </w:rPr>
        <w:t>Rekomendacje do realizowania i finansowania gminnych programów…w 20</w:t>
      </w:r>
      <w:r w:rsidR="002C6CA5">
        <w:rPr>
          <w:rFonts w:cs="Arial"/>
          <w:i/>
          <w:iCs/>
          <w:sz w:val="16"/>
          <w:szCs w:val="16"/>
        </w:rPr>
        <w:t>25</w:t>
      </w:r>
      <w:r w:rsidRPr="00FF0687">
        <w:rPr>
          <w:rFonts w:cs="Arial"/>
          <w:i/>
          <w:iCs/>
          <w:sz w:val="16"/>
          <w:szCs w:val="16"/>
        </w:rPr>
        <w:t xml:space="preserve"> roku</w:t>
      </w:r>
      <w:r w:rsidRPr="00FF0687">
        <w:rPr>
          <w:rFonts w:cs="Arial"/>
          <w:sz w:val="16"/>
          <w:szCs w:val="16"/>
        </w:rPr>
        <w:t xml:space="preserve">, </w:t>
      </w:r>
      <w:r w:rsidR="008313BE">
        <w:rPr>
          <w:rFonts w:cs="Arial"/>
          <w:sz w:val="16"/>
          <w:szCs w:val="16"/>
        </w:rPr>
        <w:t>KCPU</w:t>
      </w:r>
      <w:r w:rsidRPr="00FF0687">
        <w:rPr>
          <w:rFonts w:cs="Arial"/>
          <w:sz w:val="16"/>
          <w:szCs w:val="16"/>
        </w:rPr>
        <w:t xml:space="preserve">, Warszawa </w:t>
      </w:r>
      <w:bookmarkEnd w:id="39"/>
      <w:r w:rsidRPr="00FF0687">
        <w:rPr>
          <w:rFonts w:cs="Arial"/>
          <w:sz w:val="16"/>
          <w:szCs w:val="16"/>
        </w:rPr>
        <w:t>202</w:t>
      </w:r>
      <w:r w:rsidR="002C6CA5">
        <w:rPr>
          <w:rFonts w:cs="Arial"/>
          <w:sz w:val="16"/>
          <w:szCs w:val="16"/>
        </w:rPr>
        <w:t>4</w:t>
      </w:r>
      <w:r w:rsidRPr="00FF0687">
        <w:rPr>
          <w:rFonts w:cs="Arial"/>
          <w:sz w:val="16"/>
          <w:szCs w:val="16"/>
        </w:rPr>
        <w:t>.</w:t>
      </w:r>
      <w:bookmarkEnd w:id="40"/>
    </w:p>
  </w:footnote>
  <w:footnote w:id="19">
    <w:p w14:paraId="0215306A" w14:textId="77777777"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20">
    <w:p w14:paraId="01EF0277" w14:textId="5A4D0A1A"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bookmarkStart w:id="43" w:name="_Hlk49419091"/>
      <w:r w:rsidRPr="00FF0687">
        <w:rPr>
          <w:rFonts w:cs="Arial"/>
          <w:i/>
          <w:iCs/>
          <w:sz w:val="16"/>
          <w:szCs w:val="16"/>
        </w:rPr>
        <w:t>Rekomendacje do realizowania i finansowania gminnych programów…w</w:t>
      </w:r>
      <w:r w:rsidR="008313BE">
        <w:rPr>
          <w:rFonts w:cs="Arial"/>
          <w:i/>
          <w:iCs/>
          <w:sz w:val="16"/>
          <w:szCs w:val="16"/>
        </w:rPr>
        <w:t xml:space="preserve"> </w:t>
      </w:r>
      <w:r w:rsidRPr="00FF0687">
        <w:rPr>
          <w:rFonts w:cs="Arial"/>
          <w:i/>
          <w:iCs/>
          <w:sz w:val="16"/>
          <w:szCs w:val="16"/>
        </w:rPr>
        <w:t>202</w:t>
      </w:r>
      <w:r w:rsidR="00536E9E">
        <w:rPr>
          <w:rFonts w:cs="Arial"/>
          <w:i/>
          <w:iCs/>
          <w:sz w:val="16"/>
          <w:szCs w:val="16"/>
        </w:rPr>
        <w:t>5</w:t>
      </w:r>
      <w:r w:rsidR="008313BE">
        <w:rPr>
          <w:rFonts w:cs="Arial"/>
          <w:i/>
          <w:iCs/>
          <w:sz w:val="16"/>
          <w:szCs w:val="16"/>
        </w:rPr>
        <w:t xml:space="preserve"> </w:t>
      </w:r>
      <w:r w:rsidRPr="00FF0687">
        <w:rPr>
          <w:rFonts w:cs="Arial"/>
          <w:i/>
          <w:iCs/>
          <w:sz w:val="16"/>
          <w:szCs w:val="16"/>
        </w:rPr>
        <w:t>roku</w:t>
      </w:r>
      <w:r w:rsidRPr="00FF0687">
        <w:rPr>
          <w:rFonts w:cs="Arial"/>
          <w:sz w:val="16"/>
          <w:szCs w:val="16"/>
        </w:rPr>
        <w:t xml:space="preserve">, </w:t>
      </w:r>
      <w:r w:rsidR="008313BE">
        <w:rPr>
          <w:rFonts w:cs="Arial"/>
          <w:sz w:val="16"/>
          <w:szCs w:val="16"/>
        </w:rPr>
        <w:t>KCPU</w:t>
      </w:r>
      <w:r w:rsidRPr="00FF0687">
        <w:rPr>
          <w:rFonts w:cs="Arial"/>
          <w:sz w:val="16"/>
          <w:szCs w:val="16"/>
        </w:rPr>
        <w:t>, Warszawa 20</w:t>
      </w:r>
      <w:r w:rsidR="00536E9E">
        <w:rPr>
          <w:rFonts w:cs="Arial"/>
          <w:sz w:val="16"/>
          <w:szCs w:val="16"/>
        </w:rPr>
        <w:t>24</w:t>
      </w:r>
      <w:bookmarkEnd w:id="43"/>
      <w:r w:rsidRPr="00FF0687">
        <w:rPr>
          <w:rFonts w:cs="Arial"/>
          <w:sz w:val="16"/>
          <w:szCs w:val="16"/>
        </w:rPr>
        <w:t>.</w:t>
      </w:r>
    </w:p>
  </w:footnote>
  <w:footnote w:id="21">
    <w:p w14:paraId="493E4C4D" w14:textId="2BEFA1F7"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r w:rsidRPr="00FF0687">
        <w:rPr>
          <w:rFonts w:cs="Arial"/>
          <w:i/>
          <w:iCs/>
          <w:sz w:val="16"/>
          <w:szCs w:val="16"/>
        </w:rPr>
        <w:t>Rekomendacje do realizowania i finansowania gminnych programów…w</w:t>
      </w:r>
      <w:r w:rsidR="008313BE">
        <w:rPr>
          <w:rFonts w:cs="Arial"/>
          <w:i/>
          <w:iCs/>
          <w:sz w:val="16"/>
          <w:szCs w:val="16"/>
        </w:rPr>
        <w:t xml:space="preserve"> </w:t>
      </w:r>
      <w:r w:rsidRPr="00FF0687">
        <w:rPr>
          <w:rFonts w:cs="Arial"/>
          <w:i/>
          <w:iCs/>
          <w:sz w:val="16"/>
          <w:szCs w:val="16"/>
        </w:rPr>
        <w:t>202</w:t>
      </w:r>
      <w:r w:rsidR="00536E9E">
        <w:rPr>
          <w:rFonts w:cs="Arial"/>
          <w:i/>
          <w:iCs/>
          <w:sz w:val="16"/>
          <w:szCs w:val="16"/>
        </w:rPr>
        <w:t>5</w:t>
      </w:r>
      <w:r w:rsidR="008313BE">
        <w:rPr>
          <w:rFonts w:cs="Arial"/>
          <w:i/>
          <w:iCs/>
          <w:sz w:val="16"/>
          <w:szCs w:val="16"/>
        </w:rPr>
        <w:t xml:space="preserve"> </w:t>
      </w:r>
      <w:r w:rsidRPr="00FF0687">
        <w:rPr>
          <w:rFonts w:cs="Arial"/>
          <w:i/>
          <w:iCs/>
          <w:sz w:val="16"/>
          <w:szCs w:val="16"/>
        </w:rPr>
        <w:t>roku</w:t>
      </w:r>
      <w:r w:rsidRPr="00FF0687">
        <w:rPr>
          <w:rFonts w:cs="Arial"/>
          <w:sz w:val="16"/>
          <w:szCs w:val="16"/>
        </w:rPr>
        <w:t xml:space="preserve">, </w:t>
      </w:r>
      <w:r w:rsidR="008313BE">
        <w:rPr>
          <w:rFonts w:cs="Arial"/>
          <w:sz w:val="16"/>
          <w:szCs w:val="16"/>
        </w:rPr>
        <w:t>KCPU</w:t>
      </w:r>
      <w:r w:rsidRPr="00FF0687">
        <w:rPr>
          <w:rFonts w:cs="Arial"/>
          <w:sz w:val="16"/>
          <w:szCs w:val="16"/>
        </w:rPr>
        <w:t>, Warszawa 202</w:t>
      </w:r>
      <w:r w:rsidR="00536E9E">
        <w:rPr>
          <w:rFonts w:cs="Arial"/>
          <w:sz w:val="16"/>
          <w:szCs w:val="16"/>
        </w:rPr>
        <w:t>4</w:t>
      </w:r>
      <w:r w:rsidRPr="00FF0687">
        <w:rPr>
          <w:rFonts w:cs="Arial"/>
          <w:sz w:val="16"/>
          <w:szCs w:val="16"/>
        </w:rPr>
        <w:t>.</w:t>
      </w:r>
    </w:p>
  </w:footnote>
  <w:footnote w:id="22">
    <w:p w14:paraId="74FEADD0" w14:textId="68DDA593" w:rsidR="00EF0A89" w:rsidRDefault="00EF0A89">
      <w:pPr>
        <w:pStyle w:val="Tekstprzypisudolnego"/>
      </w:pPr>
      <w:r w:rsidRPr="00C22FC0">
        <w:rPr>
          <w:rStyle w:val="Odwoanieprzypisudolnego"/>
          <w:sz w:val="18"/>
          <w:szCs w:val="14"/>
        </w:rPr>
        <w:footnoteRef/>
      </w:r>
      <w:r w:rsidRPr="00C22FC0">
        <w:rPr>
          <w:sz w:val="18"/>
          <w:szCs w:val="14"/>
        </w:rPr>
        <w:t xml:space="preserve"> PARPA – G1 za 2021 r. i KCPU-G1 - Sprawozdanie z działalności samorządów lokalnych w zakresie profilaktyki i rozwiązywania problemów uzależnień w 2022 i 2023 </w:t>
      </w:r>
      <w:r w:rsidRPr="00EF0A89">
        <w:t>r.</w:t>
      </w:r>
    </w:p>
  </w:footnote>
  <w:footnote w:id="23">
    <w:p w14:paraId="480AAAEF" w14:textId="08E3B0C4" w:rsidR="00955250" w:rsidRPr="00FF0687" w:rsidRDefault="00955250" w:rsidP="00955250">
      <w:pPr>
        <w:pStyle w:val="Tekstprzypisudolnego"/>
        <w:tabs>
          <w:tab w:val="left" w:pos="284"/>
        </w:tabs>
        <w:ind w:left="142" w:hanging="142"/>
        <w:jc w:val="both"/>
        <w:rPr>
          <w:rFonts w:cs="Arial"/>
          <w:sz w:val="16"/>
          <w:szCs w:val="16"/>
        </w:rPr>
      </w:pPr>
      <w:r w:rsidRPr="00FF0687">
        <w:rPr>
          <w:rStyle w:val="Odwoanieprzypisudolnego"/>
          <w:rFonts w:cs="Arial"/>
          <w:sz w:val="16"/>
          <w:szCs w:val="16"/>
        </w:rPr>
        <w:footnoteRef/>
      </w:r>
      <w:bookmarkStart w:id="50" w:name="_Hlk47699807"/>
      <w:r w:rsidRPr="00FF0687">
        <w:rPr>
          <w:rFonts w:cs="Arial"/>
          <w:i/>
          <w:iCs/>
          <w:sz w:val="16"/>
          <w:szCs w:val="16"/>
        </w:rPr>
        <w:t>Rekomendacje do realizowania i finansowania gminnych programów…w</w:t>
      </w:r>
      <w:r w:rsidR="008313BE">
        <w:rPr>
          <w:rFonts w:cs="Arial"/>
          <w:i/>
          <w:iCs/>
          <w:sz w:val="16"/>
          <w:szCs w:val="16"/>
        </w:rPr>
        <w:t xml:space="preserve"> </w:t>
      </w:r>
      <w:r w:rsidRPr="00FF0687">
        <w:rPr>
          <w:rFonts w:cs="Arial"/>
          <w:i/>
          <w:iCs/>
          <w:sz w:val="16"/>
          <w:szCs w:val="16"/>
        </w:rPr>
        <w:t>20</w:t>
      </w:r>
      <w:r>
        <w:rPr>
          <w:rFonts w:cs="Arial"/>
          <w:i/>
          <w:iCs/>
          <w:sz w:val="16"/>
          <w:szCs w:val="16"/>
        </w:rPr>
        <w:t>25</w:t>
      </w:r>
      <w:r w:rsidR="008313BE">
        <w:rPr>
          <w:rFonts w:cs="Arial"/>
          <w:i/>
          <w:iCs/>
          <w:sz w:val="16"/>
          <w:szCs w:val="16"/>
        </w:rPr>
        <w:t xml:space="preserve"> r</w:t>
      </w:r>
      <w:r w:rsidRPr="00FF0687">
        <w:rPr>
          <w:rFonts w:cs="Arial"/>
          <w:i/>
          <w:iCs/>
          <w:sz w:val="16"/>
          <w:szCs w:val="16"/>
        </w:rPr>
        <w:t>oku</w:t>
      </w:r>
      <w:r w:rsidRPr="00FF0687">
        <w:rPr>
          <w:rFonts w:cs="Arial"/>
          <w:sz w:val="16"/>
          <w:szCs w:val="16"/>
        </w:rPr>
        <w:t xml:space="preserve">, </w:t>
      </w:r>
      <w:r w:rsidR="008313BE">
        <w:rPr>
          <w:rFonts w:cs="Arial"/>
          <w:sz w:val="16"/>
          <w:szCs w:val="16"/>
        </w:rPr>
        <w:t>KCPU</w:t>
      </w:r>
      <w:r w:rsidRPr="00FF0687">
        <w:rPr>
          <w:rFonts w:cs="Arial"/>
          <w:sz w:val="16"/>
          <w:szCs w:val="16"/>
        </w:rPr>
        <w:t>, Warszawa 20</w:t>
      </w:r>
      <w:r>
        <w:rPr>
          <w:rFonts w:cs="Arial"/>
          <w:sz w:val="16"/>
          <w:szCs w:val="16"/>
        </w:rPr>
        <w:t>24</w:t>
      </w:r>
      <w:bookmarkEnd w:id="50"/>
      <w:r w:rsidRPr="00FF0687">
        <w:rPr>
          <w:rFonts w:cs="Arial"/>
          <w:sz w:val="16"/>
          <w:szCs w:val="16"/>
        </w:rPr>
        <w:t>.</w:t>
      </w:r>
    </w:p>
  </w:footnote>
  <w:footnote w:id="24">
    <w:p w14:paraId="5C4C6492" w14:textId="731F98EC" w:rsidR="00955250" w:rsidRPr="00FF0687" w:rsidRDefault="00955250" w:rsidP="00955250">
      <w:pPr>
        <w:pStyle w:val="Tekstprzypisudolnego"/>
        <w:tabs>
          <w:tab w:val="left" w:pos="284"/>
        </w:tabs>
        <w:ind w:left="142" w:hanging="142"/>
        <w:jc w:val="both"/>
        <w:rPr>
          <w:rFonts w:cs="Arial"/>
          <w:sz w:val="16"/>
          <w:szCs w:val="16"/>
        </w:rPr>
      </w:pPr>
      <w:r w:rsidRPr="00FF0687">
        <w:rPr>
          <w:rStyle w:val="Odwoanieprzypisudolnego"/>
          <w:rFonts w:cs="Arial"/>
          <w:sz w:val="16"/>
          <w:szCs w:val="16"/>
        </w:rPr>
        <w:footnoteRef/>
      </w:r>
      <w:r w:rsidR="004B5593">
        <w:rPr>
          <w:rFonts w:cs="Arial"/>
          <w:i/>
          <w:iCs/>
          <w:sz w:val="16"/>
          <w:szCs w:val="16"/>
        </w:rPr>
        <w:t>T</w:t>
      </w:r>
      <w:r w:rsidR="008313BE">
        <w:rPr>
          <w:rFonts w:cs="Arial"/>
          <w:i/>
          <w:iCs/>
          <w:sz w:val="16"/>
          <w:szCs w:val="16"/>
        </w:rPr>
        <w:t>amże</w:t>
      </w:r>
      <w:r w:rsidR="004B5593">
        <w:rPr>
          <w:rFonts w:cs="Arial"/>
          <w:i/>
          <w:iCs/>
          <w:sz w:val="16"/>
          <w:szCs w:val="16"/>
        </w:rPr>
        <w:t>.</w:t>
      </w:r>
    </w:p>
  </w:footnote>
  <w:footnote w:id="25">
    <w:p w14:paraId="79BB1565" w14:textId="77777777"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26">
    <w:p w14:paraId="1930B429" w14:textId="113A34C4" w:rsidR="00955250" w:rsidRPr="008955AD" w:rsidRDefault="00955250" w:rsidP="00955250">
      <w:pPr>
        <w:pStyle w:val="Tekstprzypisudolnego"/>
        <w:tabs>
          <w:tab w:val="left" w:pos="284"/>
        </w:tabs>
        <w:ind w:left="142" w:hanging="142"/>
        <w:jc w:val="both"/>
        <w:rPr>
          <w:rFonts w:cs="Arial"/>
          <w:sz w:val="16"/>
          <w:szCs w:val="16"/>
        </w:rPr>
      </w:pPr>
      <w:r w:rsidRPr="008955AD">
        <w:rPr>
          <w:rStyle w:val="Odwoanieprzypisudolnego"/>
          <w:rFonts w:cs="Arial"/>
          <w:sz w:val="16"/>
          <w:szCs w:val="16"/>
        </w:rPr>
        <w:footnoteRef/>
      </w:r>
      <w:r w:rsidR="004B5593">
        <w:rPr>
          <w:rFonts w:cs="Arial"/>
          <w:i/>
          <w:iCs/>
          <w:sz w:val="16"/>
          <w:szCs w:val="16"/>
        </w:rPr>
        <w:t>Tamże.</w:t>
      </w:r>
    </w:p>
  </w:footnote>
  <w:footnote w:id="27">
    <w:p w14:paraId="7C7C5518" w14:textId="15278CEB" w:rsidR="00955250" w:rsidRPr="00FF0687" w:rsidRDefault="00955250" w:rsidP="00955250">
      <w:pPr>
        <w:pStyle w:val="Tekstprzypisudolnego"/>
        <w:ind w:left="142" w:hanging="142"/>
        <w:jc w:val="both"/>
        <w:rPr>
          <w:rFonts w:cs="Arial"/>
          <w:sz w:val="16"/>
          <w:szCs w:val="16"/>
        </w:rPr>
      </w:pPr>
      <w:r w:rsidRPr="008955AD">
        <w:rPr>
          <w:rStyle w:val="Odwoanieprzypisudolnego"/>
          <w:rFonts w:cs="Arial"/>
          <w:sz w:val="16"/>
          <w:szCs w:val="16"/>
        </w:rPr>
        <w:footnoteRef/>
      </w:r>
      <w:r w:rsidR="004B5593">
        <w:rPr>
          <w:rFonts w:cs="Arial"/>
          <w:i/>
          <w:iCs/>
          <w:sz w:val="16"/>
          <w:szCs w:val="16"/>
        </w:rPr>
        <w:t>Tamże.</w:t>
      </w:r>
    </w:p>
  </w:footnote>
  <w:footnote w:id="28">
    <w:p w14:paraId="48D96F81" w14:textId="77777777"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29">
    <w:p w14:paraId="58979662" w14:textId="77777777" w:rsidR="00955250" w:rsidRPr="0054713D" w:rsidRDefault="00955250" w:rsidP="00955250">
      <w:pPr>
        <w:pStyle w:val="Tekstprzypisudolnego"/>
        <w:rPr>
          <w:sz w:val="18"/>
          <w:szCs w:val="14"/>
        </w:rPr>
      </w:pPr>
      <w:r w:rsidRPr="0054713D">
        <w:rPr>
          <w:rStyle w:val="Odwoanieprzypisudolnego"/>
          <w:sz w:val="18"/>
          <w:szCs w:val="14"/>
        </w:rPr>
        <w:footnoteRef/>
      </w:r>
      <w:r w:rsidRPr="0054713D">
        <w:rPr>
          <w:sz w:val="18"/>
          <w:szCs w:val="14"/>
        </w:rPr>
        <w:t xml:space="preserve"> Mapy potrzeb zdrowotnych (odczyt: 24.10.2025 r.)</w:t>
      </w:r>
    </w:p>
  </w:footnote>
  <w:footnote w:id="30">
    <w:p w14:paraId="6CC17106" w14:textId="77777777" w:rsidR="00955250" w:rsidRPr="00FF0687" w:rsidRDefault="00955250" w:rsidP="00955250">
      <w:pPr>
        <w:pStyle w:val="Tekstprzypisudolnego"/>
        <w:rPr>
          <w:sz w:val="16"/>
          <w:szCs w:val="16"/>
        </w:rPr>
      </w:pPr>
      <w:r w:rsidRPr="00FF0687">
        <w:rPr>
          <w:rStyle w:val="Odwoanieprzypisudolnego"/>
        </w:rPr>
        <w:footnoteRef/>
      </w:r>
      <w:r w:rsidRPr="00FF0687">
        <w:rPr>
          <w:rFonts w:cs="Arial"/>
          <w:sz w:val="16"/>
          <w:szCs w:val="16"/>
        </w:rPr>
        <w:t>Art. 22 ust. 1 ustawy z dnia 26 października 1982 r. o wychowaniu w trzeźwości i przeciwdziałaniu alkoholizmowi</w:t>
      </w:r>
    </w:p>
  </w:footnote>
  <w:footnote w:id="31">
    <w:p w14:paraId="5419DC14" w14:textId="1DD6079B"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 xml:space="preserve"> Wojewódzki Ośrodek Terapii Uzależnienia od Alkoholu i Współuzależnienia</w:t>
      </w:r>
      <w:r>
        <w:rPr>
          <w:rFonts w:cs="Arial"/>
          <w:sz w:val="16"/>
          <w:szCs w:val="16"/>
        </w:rPr>
        <w:t xml:space="preserve"> </w:t>
      </w:r>
      <w:hyperlink r:id="rId3" w:history="1">
        <w:r w:rsidRPr="00FF0687">
          <w:rPr>
            <w:rStyle w:val="Hipercze"/>
            <w:rFonts w:cs="Arial"/>
            <w:sz w:val="16"/>
            <w:szCs w:val="16"/>
          </w:rPr>
          <w:t>Struktura Wojewódzkiego Ośrodka Terapii Uzależnienia od Alkoholu i Współuzależnienia</w:t>
        </w:r>
      </w:hyperlink>
      <w:r w:rsidRPr="00FF0687">
        <w:rPr>
          <w:rFonts w:cs="Arial"/>
          <w:sz w:val="16"/>
          <w:szCs w:val="16"/>
        </w:rPr>
        <w:t xml:space="preserve">  </w:t>
      </w:r>
    </w:p>
  </w:footnote>
  <w:footnote w:id="32">
    <w:p w14:paraId="43A8CA48" w14:textId="1ECDC430" w:rsidR="001676E4" w:rsidRPr="004D3338" w:rsidRDefault="001676E4" w:rsidP="001676E4">
      <w:pPr>
        <w:pStyle w:val="Tekstprzypisudolnego"/>
        <w:jc w:val="both"/>
        <w:rPr>
          <w:rFonts w:cs="Arial"/>
          <w:sz w:val="16"/>
          <w:szCs w:val="16"/>
        </w:rPr>
      </w:pPr>
      <w:r w:rsidRPr="004D3338">
        <w:rPr>
          <w:rStyle w:val="Odwoanieprzypisudolnego"/>
          <w:rFonts w:cs="Arial"/>
          <w:sz w:val="16"/>
          <w:szCs w:val="16"/>
        </w:rPr>
        <w:footnoteRef/>
      </w:r>
      <w:bookmarkStart w:id="54" w:name="_Hlk51585136"/>
      <w:r>
        <w:rPr>
          <w:rFonts w:cs="Arial"/>
          <w:iCs/>
          <w:sz w:val="16"/>
          <w:szCs w:val="16"/>
        </w:rPr>
        <w:t xml:space="preserve">Nietrzeźwość kierowców </w:t>
      </w:r>
      <w:hyperlink r:id="rId4" w:history="1">
        <w:r>
          <w:rPr>
            <w:rStyle w:val="Hipercze"/>
            <w:rFonts w:cs="Arial"/>
            <w:iCs/>
            <w:sz w:val="16"/>
            <w:szCs w:val="16"/>
          </w:rPr>
          <w:t>Dane PARPA dotyczące nietrzeźwości kierowców</w:t>
        </w:r>
      </w:hyperlink>
      <w:r w:rsidR="004B5593">
        <w:t xml:space="preserve"> </w:t>
      </w:r>
      <w:r>
        <w:rPr>
          <w:rFonts w:cs="Arial"/>
          <w:iCs/>
          <w:sz w:val="16"/>
          <w:szCs w:val="16"/>
        </w:rPr>
        <w:t xml:space="preserve">(odczyt: </w:t>
      </w:r>
      <w:r w:rsidRPr="004D3338">
        <w:rPr>
          <w:rFonts w:cs="Arial"/>
          <w:iCs/>
          <w:sz w:val="16"/>
          <w:szCs w:val="16"/>
        </w:rPr>
        <w:t>08.06.2020</w:t>
      </w:r>
      <w:bookmarkEnd w:id="54"/>
      <w:r>
        <w:rPr>
          <w:rFonts w:cs="Arial"/>
          <w:iCs/>
          <w:sz w:val="16"/>
          <w:szCs w:val="16"/>
        </w:rPr>
        <w:t xml:space="preserve"> r.)</w:t>
      </w:r>
    </w:p>
  </w:footnote>
  <w:footnote w:id="33">
    <w:p w14:paraId="3D651714" w14:textId="77777777" w:rsidR="001676E4" w:rsidRPr="00D733CC" w:rsidRDefault="001676E4" w:rsidP="001676E4">
      <w:pPr>
        <w:pStyle w:val="Tekstprzypisudolnego"/>
        <w:jc w:val="both"/>
        <w:rPr>
          <w:rFonts w:cs="Arial"/>
          <w:sz w:val="16"/>
          <w:szCs w:val="16"/>
        </w:rPr>
      </w:pPr>
      <w:r w:rsidRPr="004D3338">
        <w:rPr>
          <w:rStyle w:val="Odwoanieprzypisudolnego"/>
          <w:rFonts w:cs="Arial"/>
          <w:sz w:val="16"/>
          <w:szCs w:val="16"/>
        </w:rPr>
        <w:footnoteRef/>
      </w:r>
      <w:r w:rsidRPr="00D733CC">
        <w:rPr>
          <w:rFonts w:cs="Arial"/>
          <w:sz w:val="16"/>
          <w:szCs w:val="16"/>
        </w:rPr>
        <w:t>Tamże.</w:t>
      </w:r>
    </w:p>
  </w:footnote>
  <w:footnote w:id="34">
    <w:p w14:paraId="3F28C191" w14:textId="77777777" w:rsidR="001676E4" w:rsidRPr="00FF0687" w:rsidRDefault="001676E4" w:rsidP="001676E4">
      <w:pPr>
        <w:pStyle w:val="Tekstprzypisudolnego"/>
      </w:pPr>
      <w:r w:rsidRPr="00FF0687">
        <w:rPr>
          <w:rStyle w:val="Odwoanieprzypisudolnego"/>
        </w:rPr>
        <w:footnoteRef/>
      </w:r>
      <w:r w:rsidRPr="00FF0687">
        <w:rPr>
          <w:rFonts w:cs="Arial"/>
          <w:iCs/>
          <w:sz w:val="16"/>
          <w:szCs w:val="16"/>
        </w:rPr>
        <w:t>Raport z badania społecznego „</w:t>
      </w:r>
      <w:r w:rsidRPr="00FF0687">
        <w:rPr>
          <w:rFonts w:cs="Arial"/>
          <w:i/>
          <w:sz w:val="16"/>
          <w:szCs w:val="16"/>
        </w:rPr>
        <w:t>Diagnoza województwa lubelskiego w zakresie używania substancji psychoaktywnych wśród osób dorosłych oraz dostępności oferty pomocowej w obszarze przeciwdziałania uzależnieniu od substancji psychoaktywnych</w:t>
      </w:r>
      <w:r w:rsidRPr="00FF0687">
        <w:rPr>
          <w:rFonts w:cs="Arial"/>
          <w:iCs/>
          <w:sz w:val="16"/>
          <w:szCs w:val="16"/>
        </w:rPr>
        <w:t>”, Lublin 2019 r.</w:t>
      </w:r>
    </w:p>
  </w:footnote>
  <w:footnote w:id="35">
    <w:p w14:paraId="1996A05C" w14:textId="77777777" w:rsidR="001676E4" w:rsidRPr="00FF0687" w:rsidRDefault="001676E4" w:rsidP="001676E4">
      <w:pPr>
        <w:pStyle w:val="Tekstprzypisudolnego"/>
        <w:jc w:val="both"/>
        <w:rPr>
          <w:rFonts w:cs="Arial"/>
          <w:sz w:val="16"/>
          <w:szCs w:val="16"/>
        </w:rPr>
      </w:pPr>
      <w:r w:rsidRPr="00FE5C64">
        <w:rPr>
          <w:rStyle w:val="Odwoanieprzypisudolnego"/>
          <w:rFonts w:cs="Arial"/>
          <w:sz w:val="16"/>
          <w:szCs w:val="16"/>
        </w:rPr>
        <w:footnoteRef/>
      </w:r>
      <w:r w:rsidRPr="00FE5C64">
        <w:rPr>
          <w:rFonts w:cs="Arial"/>
          <w:i/>
          <w:iCs/>
          <w:sz w:val="16"/>
          <w:szCs w:val="16"/>
        </w:rPr>
        <w:t>Rekomendacje do realizowania i finansowania gminnych programów…w 2025 roku</w:t>
      </w:r>
      <w:r w:rsidRPr="00FE5C64">
        <w:rPr>
          <w:rFonts w:cs="Arial"/>
          <w:sz w:val="16"/>
          <w:szCs w:val="16"/>
        </w:rPr>
        <w:t>, KCPU, Warszawa 2024..</w:t>
      </w:r>
    </w:p>
  </w:footnote>
  <w:footnote w:id="36">
    <w:p w14:paraId="4292A43E" w14:textId="660F483C" w:rsidR="001676E4" w:rsidRPr="00FF0687" w:rsidRDefault="001676E4" w:rsidP="001676E4">
      <w:pPr>
        <w:pStyle w:val="Tekstprzypisudolnego"/>
      </w:pPr>
      <w:r w:rsidRPr="00FE5C64">
        <w:rPr>
          <w:rStyle w:val="Odwoanieprzypisudolnego"/>
        </w:rPr>
        <w:footnoteRef/>
      </w:r>
      <w:r w:rsidRPr="00FE5C64">
        <w:rPr>
          <w:rFonts w:cs="Arial"/>
          <w:i/>
          <w:iCs/>
          <w:sz w:val="16"/>
          <w:szCs w:val="16"/>
        </w:rPr>
        <w:t>Rozpoznawanie spektrum płodowych zaburzeń alkoholowych. Wytyczne opracowane przez interdyscyplinarny zespół polskich ekspertów. Medycyna Praktycz</w:t>
      </w:r>
      <w:r w:rsidR="00981D12">
        <w:rPr>
          <w:rFonts w:cs="Arial"/>
          <w:i/>
          <w:iCs/>
          <w:sz w:val="16"/>
          <w:szCs w:val="16"/>
        </w:rPr>
        <w:t>n</w:t>
      </w:r>
      <w:r w:rsidRPr="00FE5C64">
        <w:rPr>
          <w:rFonts w:cs="Arial"/>
          <w:i/>
          <w:iCs/>
          <w:sz w:val="16"/>
          <w:szCs w:val="16"/>
        </w:rPr>
        <w:t>a. Pediatria. Wydanie specjalne1/2025</w:t>
      </w:r>
    </w:p>
  </w:footnote>
  <w:footnote w:id="37">
    <w:p w14:paraId="3A2A5922" w14:textId="77777777" w:rsidR="001676E4" w:rsidRPr="00FF0687" w:rsidRDefault="001676E4" w:rsidP="001676E4">
      <w:pPr>
        <w:pStyle w:val="Tekstprzypisudolnego"/>
        <w:rPr>
          <w:rFonts w:cs="Arial"/>
          <w:sz w:val="16"/>
          <w:szCs w:val="16"/>
        </w:rPr>
      </w:pPr>
      <w:r w:rsidRPr="00FE5C64">
        <w:rPr>
          <w:rStyle w:val="Odwoanieprzypisudolnego"/>
          <w:rFonts w:cs="Arial"/>
          <w:sz w:val="16"/>
          <w:szCs w:val="16"/>
        </w:rPr>
        <w:footnoteRef/>
      </w:r>
      <w:r w:rsidRPr="00FE5C64">
        <w:rPr>
          <w:rFonts w:cs="Arial"/>
          <w:sz w:val="16"/>
          <w:szCs w:val="16"/>
        </w:rPr>
        <w:t>Bogdan Szukalski. Narkotyki. Kompendium wiedzy o środkach uzależniających. IPIN.2005.</w:t>
      </w:r>
    </w:p>
  </w:footnote>
  <w:footnote w:id="38">
    <w:p w14:paraId="05AA3177" w14:textId="77777777"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hyperlink r:id="rId5" w:history="1">
        <w:r w:rsidRPr="00E329E3">
          <w:rPr>
            <w:rStyle w:val="Hipercze"/>
            <w:rFonts w:cs="Arial"/>
            <w:i/>
            <w:iCs/>
            <w:sz w:val="16"/>
            <w:szCs w:val="16"/>
          </w:rPr>
          <w:t>https://kcpu.gov.pl/wp-content/uploads/2024/11/Alkohol-czy-mozna-pic-bezpiecznie.-Sprawdz-czy-Twoje-picie-miesci-sie-w-granicach-niskiego-ryzyka-szkod-broszura.pdf</w:t>
        </w:r>
      </w:hyperlink>
      <w:r>
        <w:rPr>
          <w:rFonts w:cs="Arial"/>
          <w:i/>
          <w:iCs/>
          <w:sz w:val="16"/>
          <w:szCs w:val="16"/>
        </w:rPr>
        <w:t xml:space="preserve"> </w:t>
      </w:r>
    </w:p>
  </w:footnote>
  <w:footnote w:id="39">
    <w:p w14:paraId="67047864" w14:textId="77777777" w:rsidR="001676E4" w:rsidRPr="00904284" w:rsidRDefault="001676E4" w:rsidP="001676E4">
      <w:pPr>
        <w:pStyle w:val="Tekstprzypisudolnego"/>
        <w:jc w:val="both"/>
        <w:rPr>
          <w:rFonts w:cs="Arial"/>
          <w:sz w:val="16"/>
          <w:szCs w:val="16"/>
          <w:highlight w:val="lightGray"/>
        </w:rPr>
      </w:pPr>
      <w:r w:rsidRPr="005952CC">
        <w:rPr>
          <w:rStyle w:val="Odwoanieprzypisudolnego"/>
          <w:rFonts w:cs="Arial"/>
          <w:sz w:val="16"/>
          <w:szCs w:val="16"/>
        </w:rPr>
        <w:footnoteRef/>
      </w:r>
      <w:r w:rsidRPr="005952CC">
        <w:rPr>
          <w:rFonts w:cs="Arial"/>
          <w:sz w:val="16"/>
          <w:szCs w:val="16"/>
        </w:rPr>
        <w:t>Raport Głównego Inspektora Sanitarnego dotyczący zatruć środkiem zastępczym lub nową substancją psychoaktywną</w:t>
      </w:r>
      <w:r w:rsidRPr="005952CC">
        <w:rPr>
          <w:rFonts w:cs="Arial"/>
          <w:sz w:val="16"/>
          <w:szCs w:val="16"/>
        </w:rPr>
        <w:br/>
        <w:t xml:space="preserve">w Polsce. Państwowy Inspektorat Sanitarny. </w:t>
      </w:r>
      <w:r w:rsidRPr="008141C9">
        <w:rPr>
          <w:rFonts w:cs="Arial"/>
          <w:sz w:val="16"/>
          <w:szCs w:val="16"/>
        </w:rPr>
        <w:t>Warszawa 2023 r.</w:t>
      </w:r>
    </w:p>
  </w:footnote>
  <w:footnote w:id="40">
    <w:p w14:paraId="318B6F71" w14:textId="7164E3BF" w:rsidR="001676E4" w:rsidRPr="00FF0687" w:rsidRDefault="001676E4" w:rsidP="001676E4">
      <w:pPr>
        <w:pStyle w:val="Tekstprzypisudolnego"/>
      </w:pPr>
      <w:r w:rsidRPr="008141C9">
        <w:rPr>
          <w:rStyle w:val="Odwoanieprzypisudolnego"/>
        </w:rPr>
        <w:footnoteRef/>
      </w:r>
      <w:r w:rsidR="008141C9">
        <w:rPr>
          <w:rFonts w:cs="Arial"/>
          <w:sz w:val="16"/>
          <w:szCs w:val="16"/>
        </w:rPr>
        <w:t>Tamże.</w:t>
      </w:r>
      <w:r w:rsidR="00CF7FA8">
        <w:rPr>
          <w:rFonts w:cs="Arial"/>
          <w:sz w:val="16"/>
          <w:szCs w:val="16"/>
        </w:rPr>
        <w:t xml:space="preserve"> </w:t>
      </w:r>
    </w:p>
  </w:footnote>
  <w:footnote w:id="41">
    <w:p w14:paraId="688719E3" w14:textId="7E0CC4A8"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 xml:space="preserve"> </w:t>
      </w:r>
      <w:r w:rsidR="00D85D06" w:rsidRPr="00D85D06">
        <w:rPr>
          <w:rFonts w:cs="Arial"/>
          <w:sz w:val="16"/>
          <w:szCs w:val="16"/>
        </w:rPr>
        <w:t>KCPU-G1 - Sprawozdanie z działalności samorządów lokalnych w zakresie profilaktyki i rozwiązywania problemów uzależnień w 2023 r.</w:t>
      </w:r>
    </w:p>
  </w:footnote>
  <w:footnote w:id="42">
    <w:p w14:paraId="21F8F840" w14:textId="77777777" w:rsidR="00955250" w:rsidRPr="00FF0687" w:rsidRDefault="00955250" w:rsidP="00955250">
      <w:pPr>
        <w:pStyle w:val="Tekstprzypisudolnego"/>
        <w:rPr>
          <w:rFonts w:cs="Arial"/>
          <w:sz w:val="16"/>
          <w:szCs w:val="16"/>
        </w:rPr>
      </w:pPr>
      <w:r w:rsidRPr="00FF0687">
        <w:rPr>
          <w:rStyle w:val="Odwoanieprzypisudolnego"/>
          <w:rFonts w:cs="Arial"/>
          <w:sz w:val="16"/>
          <w:szCs w:val="16"/>
        </w:rPr>
        <w:footnoteRef/>
      </w:r>
      <w:r w:rsidRPr="00FF0687">
        <w:rPr>
          <w:rFonts w:cs="Arial"/>
          <w:sz w:val="16"/>
          <w:szCs w:val="16"/>
        </w:rPr>
        <w:t>Tamże.</w:t>
      </w:r>
    </w:p>
  </w:footnote>
  <w:footnote w:id="43">
    <w:p w14:paraId="6FE52F4E" w14:textId="4AF7C0B4" w:rsidR="00C22FC0" w:rsidRPr="00FF0687" w:rsidRDefault="00C22FC0" w:rsidP="00C22FC0">
      <w:pPr>
        <w:pStyle w:val="Tekstprzypisudolnego"/>
        <w:spacing w:line="276" w:lineRule="auto"/>
        <w:ind w:left="284" w:hanging="284"/>
        <w:jc w:val="both"/>
        <w:rPr>
          <w:rFonts w:cs="Arial"/>
          <w:sz w:val="16"/>
          <w:szCs w:val="16"/>
          <w:highlight w:val="yellow"/>
        </w:rPr>
      </w:pPr>
      <w:r w:rsidRPr="00FF0687">
        <w:rPr>
          <w:rStyle w:val="Odwoanieprzypisudolnego"/>
          <w:rFonts w:cs="Arial"/>
          <w:sz w:val="16"/>
          <w:szCs w:val="16"/>
        </w:rPr>
        <w:footnoteRef/>
      </w:r>
      <w:r w:rsidRPr="00FF0687">
        <w:rPr>
          <w:rFonts w:cs="Arial"/>
          <w:i/>
          <w:iCs/>
          <w:sz w:val="16"/>
          <w:szCs w:val="16"/>
        </w:rPr>
        <w:t>Ocena Zasobów Pomocy Społecznej za 2021</w:t>
      </w:r>
      <w:r>
        <w:rPr>
          <w:rFonts w:cs="Arial"/>
          <w:i/>
          <w:iCs/>
          <w:sz w:val="16"/>
          <w:szCs w:val="16"/>
        </w:rPr>
        <w:t>/2022 r. /2023 / 2024 r.</w:t>
      </w:r>
      <w:r w:rsidRPr="00FF0687">
        <w:rPr>
          <w:rFonts w:cs="Arial"/>
          <w:sz w:val="16"/>
          <w:szCs w:val="16"/>
        </w:rPr>
        <w:t>, Regionalny Ośrodek Polityki Społecznej w Lublinie.</w:t>
      </w:r>
    </w:p>
  </w:footnote>
  <w:footnote w:id="44">
    <w:p w14:paraId="67588078" w14:textId="77777777" w:rsidR="00955250" w:rsidRPr="00FF0687" w:rsidRDefault="00955250" w:rsidP="00955250">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 xml:space="preserve"> RAPORT WOJEWÓDZKI </w:t>
      </w:r>
      <w:r w:rsidRPr="00FF0687">
        <w:rPr>
          <w:rFonts w:cs="Arial"/>
          <w:bCs/>
          <w:sz w:val="16"/>
          <w:szCs w:val="16"/>
        </w:rPr>
        <w:t>Monitorowanie problemu narkotyków i narkomanii na terenie województwa lubelskiego w roku 2023</w:t>
      </w:r>
    </w:p>
  </w:footnote>
  <w:footnote w:id="45">
    <w:p w14:paraId="0865D3C8" w14:textId="77777777" w:rsidR="001676E4" w:rsidRPr="00FF0687" w:rsidRDefault="001676E4" w:rsidP="001676E4">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CBOS (2012) Raport z badań Oszacowanie rozpowszechnienia oraz identyfikacja czynników ryzyka i czynników chroniących w odniesieniu do hazardu, w tym hazardu problemowego (patologicznego) oraz innych uzależnień behawioralnych.</w:t>
      </w:r>
    </w:p>
  </w:footnote>
  <w:footnote w:id="46">
    <w:p w14:paraId="625A8ECD" w14:textId="7F8385E2" w:rsidR="00851D75" w:rsidRPr="00FF0687" w:rsidRDefault="00851D75" w:rsidP="00851D75">
      <w:pPr>
        <w:pStyle w:val="Tekstprzypisudolnego"/>
        <w:jc w:val="both"/>
        <w:rPr>
          <w:rFonts w:cs="Arial"/>
          <w:sz w:val="16"/>
          <w:szCs w:val="16"/>
        </w:rPr>
      </w:pPr>
      <w:r w:rsidRPr="00FF0687">
        <w:rPr>
          <w:rStyle w:val="Odwoanieprzypisudolnego"/>
          <w:rFonts w:cs="Arial"/>
          <w:sz w:val="16"/>
          <w:szCs w:val="16"/>
        </w:rPr>
        <w:footnoteRef/>
      </w:r>
      <w:hyperlink r:id="rId6" w:history="1">
        <w:r w:rsidRPr="00FF0687">
          <w:rPr>
            <w:rStyle w:val="Hipercze"/>
            <w:rFonts w:cs="Arial"/>
            <w:sz w:val="16"/>
            <w:szCs w:val="16"/>
          </w:rPr>
          <w:t>Strona dotycząca uzależnień behawioralnych</w:t>
        </w:r>
      </w:hyperlink>
      <w:r w:rsidRPr="00FF0687">
        <w:rPr>
          <w:rFonts w:cs="Arial"/>
          <w:sz w:val="16"/>
          <w:szCs w:val="16"/>
        </w:rPr>
        <w:t xml:space="preserve"> </w:t>
      </w:r>
      <w:r w:rsidRPr="00851D75">
        <w:rPr>
          <w:rFonts w:cs="Arial"/>
          <w:sz w:val="16"/>
          <w:szCs w:val="16"/>
        </w:rPr>
        <w:t xml:space="preserve">https://uzaleznieniabehawioralne.pl/ </w:t>
      </w:r>
      <w:r w:rsidRPr="00FF0687">
        <w:rPr>
          <w:rFonts w:cs="Arial"/>
          <w:sz w:val="16"/>
          <w:szCs w:val="16"/>
        </w:rPr>
        <w:t>(odczyt: 8.07.202</w:t>
      </w:r>
      <w:r w:rsidR="00844523">
        <w:rPr>
          <w:rFonts w:cs="Arial"/>
          <w:sz w:val="16"/>
          <w:szCs w:val="16"/>
        </w:rPr>
        <w:t>5</w:t>
      </w:r>
      <w:r w:rsidRPr="00FF0687">
        <w:rPr>
          <w:rFonts w:cs="Arial"/>
          <w:sz w:val="16"/>
          <w:szCs w:val="16"/>
        </w:rPr>
        <w:t xml:space="preserve"> r.)</w:t>
      </w:r>
    </w:p>
  </w:footnote>
  <w:footnote w:id="47">
    <w:p w14:paraId="47252A56" w14:textId="77777777" w:rsidR="00851D75" w:rsidRPr="00FF0687" w:rsidRDefault="00851D75" w:rsidP="00851D75">
      <w:pPr>
        <w:pStyle w:val="Tekstprzypisudolnego"/>
        <w:jc w:val="both"/>
        <w:rPr>
          <w:rFonts w:cs="Arial"/>
          <w:sz w:val="16"/>
          <w:szCs w:val="16"/>
        </w:rPr>
      </w:pPr>
      <w:r w:rsidRPr="00FF0687">
        <w:rPr>
          <w:rStyle w:val="Odwoanieprzypisudolnego"/>
          <w:rFonts w:cs="Arial"/>
          <w:sz w:val="16"/>
          <w:szCs w:val="16"/>
        </w:rPr>
        <w:footnoteRef/>
      </w:r>
      <w:r w:rsidRPr="00FF0687">
        <w:rPr>
          <w:rFonts w:cs="Arial"/>
          <w:sz w:val="16"/>
          <w:szCs w:val="16"/>
        </w:rPr>
        <w:t xml:space="preserve">K. Wojdyło, </w:t>
      </w:r>
      <w:r w:rsidRPr="00FF0687">
        <w:rPr>
          <w:rFonts w:cs="Arial"/>
          <w:i/>
          <w:iCs/>
          <w:sz w:val="16"/>
          <w:szCs w:val="16"/>
        </w:rPr>
        <w:t>Uzależnienie od pracy. Teoria – diagnoza – psychoterapia</w:t>
      </w:r>
      <w:r w:rsidRPr="00FF0687">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2B1" w14:textId="1C0A761F" w:rsidR="001676E4" w:rsidRPr="001676E4" w:rsidRDefault="001676E4" w:rsidP="001676E4">
    <w:pPr>
      <w:pStyle w:val="Nagwek"/>
    </w:pPr>
    <w:r w:rsidRPr="001676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7A"/>
    <w:multiLevelType w:val="hybridMultilevel"/>
    <w:tmpl w:val="43CA319A"/>
    <w:lvl w:ilvl="0" w:tplc="6CD0EA50">
      <w:start w:val="1"/>
      <w:numFmt w:val="decimal"/>
      <w:lvlText w:val="4.%1."/>
      <w:lvlJc w:val="left"/>
      <w:pPr>
        <w:ind w:left="720" w:hanging="360"/>
      </w:pPr>
      <w:rPr>
        <w:rFonts w:hint="default"/>
      </w:rPr>
    </w:lvl>
    <w:lvl w:ilvl="1" w:tplc="0415000F">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9039BA"/>
    <w:multiLevelType w:val="multilevel"/>
    <w:tmpl w:val="B470D7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C5F6A"/>
    <w:multiLevelType w:val="hybridMultilevel"/>
    <w:tmpl w:val="C8BC4F42"/>
    <w:lvl w:ilvl="0" w:tplc="E9D299DA">
      <w:start w:val="1"/>
      <w:numFmt w:val="decimal"/>
      <w:pStyle w:val="Bezodstpw"/>
      <w:lvlText w:val="%1)"/>
      <w:lvlJc w:val="left"/>
      <w:pPr>
        <w:ind w:left="759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6720B"/>
    <w:multiLevelType w:val="hybridMultilevel"/>
    <w:tmpl w:val="1E46D152"/>
    <w:lvl w:ilvl="0" w:tplc="DB12BEBA">
      <w:start w:val="1"/>
      <w:numFmt w:val="decimal"/>
      <w:lvlText w:val="%1."/>
      <w:lvlJc w:val="left"/>
      <w:pPr>
        <w:ind w:left="360" w:hanging="360"/>
      </w:pPr>
      <w:rPr>
        <w:strike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1A92B06"/>
    <w:multiLevelType w:val="hybridMultilevel"/>
    <w:tmpl w:val="78725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AC3701"/>
    <w:multiLevelType w:val="multilevel"/>
    <w:tmpl w:val="C2DC12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A307E7"/>
    <w:multiLevelType w:val="multilevel"/>
    <w:tmpl w:val="FDF2BABA"/>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87969"/>
    <w:multiLevelType w:val="hybridMultilevel"/>
    <w:tmpl w:val="D0FCD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B26FE9"/>
    <w:multiLevelType w:val="hybridMultilevel"/>
    <w:tmpl w:val="2C4497C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94D47F2"/>
    <w:multiLevelType w:val="hybridMultilevel"/>
    <w:tmpl w:val="908E2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956282"/>
    <w:multiLevelType w:val="hybridMultilevel"/>
    <w:tmpl w:val="AB567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59603A"/>
    <w:multiLevelType w:val="hybridMultilevel"/>
    <w:tmpl w:val="16A8A520"/>
    <w:lvl w:ilvl="0" w:tplc="041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616AB0"/>
    <w:multiLevelType w:val="hybridMultilevel"/>
    <w:tmpl w:val="CE1EF842"/>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FB00DD"/>
    <w:multiLevelType w:val="multilevel"/>
    <w:tmpl w:val="AE6E2E38"/>
    <w:lvl w:ilvl="0">
      <w:start w:val="1"/>
      <w:numFmt w:val="decimal"/>
      <w:pStyle w:val="Nagwek1"/>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FC2026"/>
    <w:multiLevelType w:val="hybridMultilevel"/>
    <w:tmpl w:val="2F4E4C52"/>
    <w:lvl w:ilvl="0" w:tplc="6184681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F2699A"/>
    <w:multiLevelType w:val="hybridMultilevel"/>
    <w:tmpl w:val="40A45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9750BF"/>
    <w:multiLevelType w:val="hybridMultilevel"/>
    <w:tmpl w:val="0180E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C12816"/>
    <w:multiLevelType w:val="multilevel"/>
    <w:tmpl w:val="04B28B0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15:restartNumberingAfterBreak="0">
    <w:nsid w:val="33EC2C10"/>
    <w:multiLevelType w:val="hybridMultilevel"/>
    <w:tmpl w:val="A5CAB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5E1CB3"/>
    <w:multiLevelType w:val="multilevel"/>
    <w:tmpl w:val="EFF8B100"/>
    <w:lvl w:ilvl="0">
      <w:start w:val="2"/>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strike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B03B5"/>
    <w:multiLevelType w:val="hybridMultilevel"/>
    <w:tmpl w:val="C03EB10C"/>
    <w:lvl w:ilvl="0" w:tplc="04150001">
      <w:start w:val="1"/>
      <w:numFmt w:val="bullet"/>
      <w:lvlText w:val=""/>
      <w:lvlJc w:val="left"/>
      <w:pPr>
        <w:ind w:left="1200" w:hanging="360"/>
      </w:pPr>
      <w:rPr>
        <w:rFonts w:ascii="Symbol" w:hAnsi="Symbol" w:cs="Symbol" w:hint="default"/>
      </w:rPr>
    </w:lvl>
    <w:lvl w:ilvl="1" w:tplc="04150003">
      <w:start w:val="1"/>
      <w:numFmt w:val="bullet"/>
      <w:lvlText w:val="o"/>
      <w:lvlJc w:val="left"/>
      <w:pPr>
        <w:ind w:left="1920" w:hanging="360"/>
      </w:pPr>
      <w:rPr>
        <w:rFonts w:ascii="Courier New" w:hAnsi="Courier New" w:cs="Courier New" w:hint="default"/>
      </w:rPr>
    </w:lvl>
    <w:lvl w:ilvl="2" w:tplc="04150005">
      <w:start w:val="1"/>
      <w:numFmt w:val="bullet"/>
      <w:lvlText w:val=""/>
      <w:lvlJc w:val="left"/>
      <w:pPr>
        <w:ind w:left="2640" w:hanging="360"/>
      </w:pPr>
      <w:rPr>
        <w:rFonts w:ascii="Wingdings" w:hAnsi="Wingdings" w:cs="Wingdings" w:hint="default"/>
      </w:rPr>
    </w:lvl>
    <w:lvl w:ilvl="3" w:tplc="04150001">
      <w:start w:val="1"/>
      <w:numFmt w:val="bullet"/>
      <w:lvlText w:val=""/>
      <w:lvlJc w:val="left"/>
      <w:pPr>
        <w:ind w:left="3360" w:hanging="360"/>
      </w:pPr>
      <w:rPr>
        <w:rFonts w:ascii="Symbol" w:hAnsi="Symbol" w:cs="Symbol" w:hint="default"/>
      </w:rPr>
    </w:lvl>
    <w:lvl w:ilvl="4" w:tplc="04150003">
      <w:start w:val="1"/>
      <w:numFmt w:val="bullet"/>
      <w:lvlText w:val="o"/>
      <w:lvlJc w:val="left"/>
      <w:pPr>
        <w:ind w:left="4080" w:hanging="360"/>
      </w:pPr>
      <w:rPr>
        <w:rFonts w:ascii="Courier New" w:hAnsi="Courier New" w:cs="Courier New" w:hint="default"/>
      </w:rPr>
    </w:lvl>
    <w:lvl w:ilvl="5" w:tplc="04150005">
      <w:start w:val="1"/>
      <w:numFmt w:val="bullet"/>
      <w:lvlText w:val=""/>
      <w:lvlJc w:val="left"/>
      <w:pPr>
        <w:ind w:left="4800" w:hanging="360"/>
      </w:pPr>
      <w:rPr>
        <w:rFonts w:ascii="Wingdings" w:hAnsi="Wingdings" w:cs="Wingdings" w:hint="default"/>
      </w:rPr>
    </w:lvl>
    <w:lvl w:ilvl="6" w:tplc="04150001">
      <w:start w:val="1"/>
      <w:numFmt w:val="bullet"/>
      <w:lvlText w:val=""/>
      <w:lvlJc w:val="left"/>
      <w:pPr>
        <w:ind w:left="5520" w:hanging="360"/>
      </w:pPr>
      <w:rPr>
        <w:rFonts w:ascii="Symbol" w:hAnsi="Symbol" w:cs="Symbol" w:hint="default"/>
      </w:rPr>
    </w:lvl>
    <w:lvl w:ilvl="7" w:tplc="04150003">
      <w:start w:val="1"/>
      <w:numFmt w:val="bullet"/>
      <w:lvlText w:val="o"/>
      <w:lvlJc w:val="left"/>
      <w:pPr>
        <w:ind w:left="6240" w:hanging="360"/>
      </w:pPr>
      <w:rPr>
        <w:rFonts w:ascii="Courier New" w:hAnsi="Courier New" w:cs="Courier New" w:hint="default"/>
      </w:rPr>
    </w:lvl>
    <w:lvl w:ilvl="8" w:tplc="04150005">
      <w:start w:val="1"/>
      <w:numFmt w:val="bullet"/>
      <w:lvlText w:val=""/>
      <w:lvlJc w:val="left"/>
      <w:pPr>
        <w:ind w:left="6960" w:hanging="360"/>
      </w:pPr>
      <w:rPr>
        <w:rFonts w:ascii="Wingdings" w:hAnsi="Wingdings" w:cs="Wingdings" w:hint="default"/>
      </w:rPr>
    </w:lvl>
  </w:abstractNum>
  <w:abstractNum w:abstractNumId="21" w15:restartNumberingAfterBreak="0">
    <w:nsid w:val="3A0D40C3"/>
    <w:multiLevelType w:val="multilevel"/>
    <w:tmpl w:val="C79662B6"/>
    <w:lvl w:ilvl="0">
      <w:start w:val="1"/>
      <w:numFmt w:val="decimal"/>
      <w:pStyle w:val="marsza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672C3A"/>
    <w:multiLevelType w:val="multilevel"/>
    <w:tmpl w:val="1696E0DE"/>
    <w:lvl w:ilvl="0">
      <w:start w:val="1"/>
      <w:numFmt w:val="decimal"/>
      <w:lvlText w:val="%1."/>
      <w:lvlJc w:val="left"/>
      <w:pPr>
        <w:ind w:left="720" w:hanging="360"/>
      </w:pPr>
      <w:rPr>
        <w:rFonts w:hint="default"/>
      </w:rPr>
    </w:lvl>
    <w:lvl w:ilvl="1">
      <w:start w:val="1"/>
      <w:numFmt w:val="decimal"/>
      <w:pStyle w:val="Podtytu"/>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C4D186F"/>
    <w:multiLevelType w:val="hybridMultilevel"/>
    <w:tmpl w:val="16DEA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356766"/>
    <w:multiLevelType w:val="hybridMultilevel"/>
    <w:tmpl w:val="6AE2D3BA"/>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E9650CC"/>
    <w:multiLevelType w:val="hybridMultilevel"/>
    <w:tmpl w:val="BB7C129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6" w15:restartNumberingAfterBreak="0">
    <w:nsid w:val="40554E42"/>
    <w:multiLevelType w:val="multilevel"/>
    <w:tmpl w:val="0B4A7E6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9AC0F6C"/>
    <w:multiLevelType w:val="hybridMultilevel"/>
    <w:tmpl w:val="A5CAB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AE1F84"/>
    <w:multiLevelType w:val="multilevel"/>
    <w:tmpl w:val="03E47C88"/>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0E73DF"/>
    <w:multiLevelType w:val="multilevel"/>
    <w:tmpl w:val="EA7053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trike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A30F9"/>
    <w:multiLevelType w:val="multilevel"/>
    <w:tmpl w:val="4D0428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1D73C7"/>
    <w:multiLevelType w:val="hybridMultilevel"/>
    <w:tmpl w:val="CE20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9F1970"/>
    <w:multiLevelType w:val="hybridMultilevel"/>
    <w:tmpl w:val="CE1EF84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15313F"/>
    <w:multiLevelType w:val="hybridMultilevel"/>
    <w:tmpl w:val="DFFA28A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4" w15:restartNumberingAfterBreak="0">
    <w:nsid w:val="522F1F8F"/>
    <w:multiLevelType w:val="hybridMultilevel"/>
    <w:tmpl w:val="F4D88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6C631F"/>
    <w:multiLevelType w:val="multilevel"/>
    <w:tmpl w:val="D86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B10A3A"/>
    <w:multiLevelType w:val="hybridMultilevel"/>
    <w:tmpl w:val="267CD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3210C9"/>
    <w:multiLevelType w:val="hybridMultilevel"/>
    <w:tmpl w:val="31806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CF2636"/>
    <w:multiLevelType w:val="hybridMultilevel"/>
    <w:tmpl w:val="10480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AF2483"/>
    <w:multiLevelType w:val="hybridMultilevel"/>
    <w:tmpl w:val="0C1AB3C8"/>
    <w:lvl w:ilvl="0" w:tplc="04150001">
      <w:start w:val="1"/>
      <w:numFmt w:val="bullet"/>
      <w:lvlText w:val=""/>
      <w:lvlJc w:val="left"/>
      <w:pPr>
        <w:ind w:left="611" w:hanging="360"/>
      </w:pPr>
      <w:rPr>
        <w:rFonts w:ascii="Symbol" w:hAnsi="Symbol"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40" w15:restartNumberingAfterBreak="0">
    <w:nsid w:val="5F1163AE"/>
    <w:multiLevelType w:val="hybridMultilevel"/>
    <w:tmpl w:val="DB8054A4"/>
    <w:lvl w:ilvl="0" w:tplc="0415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F883B92"/>
    <w:multiLevelType w:val="hybridMultilevel"/>
    <w:tmpl w:val="685CEBA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1CB7388"/>
    <w:multiLevelType w:val="hybridMultilevel"/>
    <w:tmpl w:val="604011C8"/>
    <w:lvl w:ilvl="0" w:tplc="8462024C">
      <w:start w:val="1"/>
      <w:numFmt w:val="decimal"/>
      <w:pStyle w:val="Odpowied"/>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3DC46E8"/>
    <w:multiLevelType w:val="multilevel"/>
    <w:tmpl w:val="E01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B12BFF"/>
    <w:multiLevelType w:val="hybridMultilevel"/>
    <w:tmpl w:val="06ECECF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5" w15:restartNumberingAfterBreak="0">
    <w:nsid w:val="69232213"/>
    <w:multiLevelType w:val="multilevel"/>
    <w:tmpl w:val="0A6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E40C15"/>
    <w:multiLevelType w:val="multilevel"/>
    <w:tmpl w:val="E2D6E5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655BAD"/>
    <w:multiLevelType w:val="multilevel"/>
    <w:tmpl w:val="B472254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strike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3D1A6B"/>
    <w:multiLevelType w:val="hybridMultilevel"/>
    <w:tmpl w:val="612EA5F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9" w15:restartNumberingAfterBreak="0">
    <w:nsid w:val="6E480535"/>
    <w:multiLevelType w:val="hybridMultilevel"/>
    <w:tmpl w:val="0686B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2708AD"/>
    <w:multiLevelType w:val="singleLevel"/>
    <w:tmpl w:val="04150001"/>
    <w:lvl w:ilvl="0">
      <w:start w:val="1"/>
      <w:numFmt w:val="bullet"/>
      <w:lvlText w:val=""/>
      <w:lvlJc w:val="left"/>
      <w:pPr>
        <w:ind w:left="360" w:hanging="360"/>
      </w:pPr>
      <w:rPr>
        <w:rFonts w:ascii="Symbol" w:hAnsi="Symbol" w:hint="default"/>
      </w:rPr>
    </w:lvl>
  </w:abstractNum>
  <w:abstractNum w:abstractNumId="51" w15:restartNumberingAfterBreak="0">
    <w:nsid w:val="734F6F6A"/>
    <w:multiLevelType w:val="multilevel"/>
    <w:tmpl w:val="0AE8D0AE"/>
    <w:name w:val="WWNum3"/>
    <w:lvl w:ilvl="0">
      <w:start w:val="1"/>
      <w:numFmt w:val="bullet"/>
      <w:lvlText w:val=""/>
      <w:lvlJc w:val="left"/>
      <w:pPr>
        <w:ind w:left="1429" w:hanging="360"/>
      </w:pPr>
      <w:rPr>
        <w:rFonts w:ascii="Symbol" w:hAnsi="Symbol" w:hint="default"/>
        <w:b w:val="0"/>
        <w:bCs w:val="0"/>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52" w15:restartNumberingAfterBreak="0">
    <w:nsid w:val="76415BEE"/>
    <w:multiLevelType w:val="hybridMultilevel"/>
    <w:tmpl w:val="0ACEE09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15:restartNumberingAfterBreak="0">
    <w:nsid w:val="7D5210A6"/>
    <w:multiLevelType w:val="multilevel"/>
    <w:tmpl w:val="D7B6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23798">
    <w:abstractNumId w:val="52"/>
  </w:num>
  <w:num w:numId="2" w16cid:durableId="1569800819">
    <w:abstractNumId w:val="50"/>
  </w:num>
  <w:num w:numId="3" w16cid:durableId="1080369516">
    <w:abstractNumId w:val="42"/>
  </w:num>
  <w:num w:numId="4" w16cid:durableId="898636480">
    <w:abstractNumId w:val="20"/>
  </w:num>
  <w:num w:numId="5" w16cid:durableId="774322072">
    <w:abstractNumId w:val="24"/>
  </w:num>
  <w:num w:numId="6" w16cid:durableId="1970090215">
    <w:abstractNumId w:val="41"/>
  </w:num>
  <w:num w:numId="7" w16cid:durableId="655887491">
    <w:abstractNumId w:val="51"/>
  </w:num>
  <w:num w:numId="8" w16cid:durableId="977422117">
    <w:abstractNumId w:val="38"/>
  </w:num>
  <w:num w:numId="9" w16cid:durableId="825316703">
    <w:abstractNumId w:val="25"/>
  </w:num>
  <w:num w:numId="10" w16cid:durableId="145318587">
    <w:abstractNumId w:val="22"/>
  </w:num>
  <w:num w:numId="11" w16cid:durableId="1981962396">
    <w:abstractNumId w:val="39"/>
  </w:num>
  <w:num w:numId="12" w16cid:durableId="535965121">
    <w:abstractNumId w:val="15"/>
  </w:num>
  <w:num w:numId="13" w16cid:durableId="671371011">
    <w:abstractNumId w:val="31"/>
  </w:num>
  <w:num w:numId="14" w16cid:durableId="627246825">
    <w:abstractNumId w:val="36"/>
  </w:num>
  <w:num w:numId="15" w16cid:durableId="548886113">
    <w:abstractNumId w:val="23"/>
  </w:num>
  <w:num w:numId="16" w16cid:durableId="104615486">
    <w:abstractNumId w:val="6"/>
  </w:num>
  <w:num w:numId="17" w16cid:durableId="419444821">
    <w:abstractNumId w:val="13"/>
  </w:num>
  <w:num w:numId="18" w16cid:durableId="1855072167">
    <w:abstractNumId w:val="7"/>
  </w:num>
  <w:num w:numId="19" w16cid:durableId="1317421380">
    <w:abstractNumId w:val="21"/>
  </w:num>
  <w:num w:numId="20" w16cid:durableId="1163471963">
    <w:abstractNumId w:val="2"/>
  </w:num>
  <w:num w:numId="21" w16cid:durableId="356351253">
    <w:abstractNumId w:val="49"/>
  </w:num>
  <w:num w:numId="22" w16cid:durableId="849567226">
    <w:abstractNumId w:val="28"/>
  </w:num>
  <w:num w:numId="23" w16cid:durableId="673142583">
    <w:abstractNumId w:val="37"/>
  </w:num>
  <w:num w:numId="24" w16cid:durableId="1301380428">
    <w:abstractNumId w:val="10"/>
  </w:num>
  <w:num w:numId="25" w16cid:durableId="975061300">
    <w:abstractNumId w:val="30"/>
  </w:num>
  <w:num w:numId="26" w16cid:durableId="162085212">
    <w:abstractNumId w:val="27"/>
  </w:num>
  <w:num w:numId="27" w16cid:durableId="981808294">
    <w:abstractNumId w:val="18"/>
  </w:num>
  <w:num w:numId="28" w16cid:durableId="175274725">
    <w:abstractNumId w:val="5"/>
  </w:num>
  <w:num w:numId="29" w16cid:durableId="1282885066">
    <w:abstractNumId w:val="26"/>
  </w:num>
  <w:num w:numId="30" w16cid:durableId="728923754">
    <w:abstractNumId w:val="0"/>
  </w:num>
  <w:num w:numId="31" w16cid:durableId="1326939078">
    <w:abstractNumId w:val="8"/>
  </w:num>
  <w:num w:numId="32" w16cid:durableId="1469669664">
    <w:abstractNumId w:val="16"/>
  </w:num>
  <w:num w:numId="33" w16cid:durableId="57823418">
    <w:abstractNumId w:val="9"/>
  </w:num>
  <w:num w:numId="34" w16cid:durableId="426466308">
    <w:abstractNumId w:val="32"/>
  </w:num>
  <w:num w:numId="35" w16cid:durableId="1091119908">
    <w:abstractNumId w:val="17"/>
  </w:num>
  <w:num w:numId="36" w16cid:durableId="1105157030">
    <w:abstractNumId w:val="3"/>
  </w:num>
  <w:num w:numId="37" w16cid:durableId="1114515763">
    <w:abstractNumId w:val="1"/>
  </w:num>
  <w:num w:numId="38" w16cid:durableId="1680350295">
    <w:abstractNumId w:val="40"/>
  </w:num>
  <w:num w:numId="39" w16cid:durableId="1780710751">
    <w:abstractNumId w:val="11"/>
  </w:num>
  <w:num w:numId="40" w16cid:durableId="789785476">
    <w:abstractNumId w:val="45"/>
  </w:num>
  <w:num w:numId="41" w16cid:durableId="786194282">
    <w:abstractNumId w:val="29"/>
  </w:num>
  <w:num w:numId="42" w16cid:durableId="1868180601">
    <w:abstractNumId w:val="47"/>
  </w:num>
  <w:num w:numId="43" w16cid:durableId="1690528111">
    <w:abstractNumId w:val="35"/>
  </w:num>
  <w:num w:numId="44" w16cid:durableId="1913273015">
    <w:abstractNumId w:val="43"/>
  </w:num>
  <w:num w:numId="45" w16cid:durableId="1405908145">
    <w:abstractNumId w:val="53"/>
  </w:num>
  <w:num w:numId="46" w16cid:durableId="693766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81041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3807627">
    <w:abstractNumId w:val="34"/>
  </w:num>
  <w:num w:numId="49" w16cid:durableId="1676181314">
    <w:abstractNumId w:val="48"/>
  </w:num>
  <w:num w:numId="50" w16cid:durableId="739719118">
    <w:abstractNumId w:val="12"/>
  </w:num>
  <w:num w:numId="51" w16cid:durableId="1136608799">
    <w:abstractNumId w:val="44"/>
  </w:num>
  <w:num w:numId="52" w16cid:durableId="271674086">
    <w:abstractNumId w:val="33"/>
  </w:num>
  <w:num w:numId="53" w16cid:durableId="1133790615">
    <w:abstractNumId w:val="46"/>
  </w:num>
  <w:num w:numId="54" w16cid:durableId="58288626">
    <w:abstractNumId w:val="14"/>
  </w:num>
  <w:num w:numId="55" w16cid:durableId="2054234905">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2B"/>
    <w:rsid w:val="00001633"/>
    <w:rsid w:val="00001842"/>
    <w:rsid w:val="00003CB8"/>
    <w:rsid w:val="00006535"/>
    <w:rsid w:val="00006C38"/>
    <w:rsid w:val="00006CDB"/>
    <w:rsid w:val="00011A10"/>
    <w:rsid w:val="00011AD8"/>
    <w:rsid w:val="00012BA4"/>
    <w:rsid w:val="000137B8"/>
    <w:rsid w:val="000152B4"/>
    <w:rsid w:val="000156FF"/>
    <w:rsid w:val="00015AD4"/>
    <w:rsid w:val="00016A50"/>
    <w:rsid w:val="0002052D"/>
    <w:rsid w:val="00020AEC"/>
    <w:rsid w:val="000242A3"/>
    <w:rsid w:val="000279D5"/>
    <w:rsid w:val="0003165C"/>
    <w:rsid w:val="00031E73"/>
    <w:rsid w:val="00034EA0"/>
    <w:rsid w:val="00037CD8"/>
    <w:rsid w:val="00040C6C"/>
    <w:rsid w:val="000410B8"/>
    <w:rsid w:val="00043D93"/>
    <w:rsid w:val="00044237"/>
    <w:rsid w:val="00044ABE"/>
    <w:rsid w:val="00044F77"/>
    <w:rsid w:val="00045430"/>
    <w:rsid w:val="00047691"/>
    <w:rsid w:val="00051D9E"/>
    <w:rsid w:val="000525A6"/>
    <w:rsid w:val="00052D95"/>
    <w:rsid w:val="000535E2"/>
    <w:rsid w:val="00055E78"/>
    <w:rsid w:val="0005612E"/>
    <w:rsid w:val="000613C5"/>
    <w:rsid w:val="000623D9"/>
    <w:rsid w:val="00062BB9"/>
    <w:rsid w:val="000649BD"/>
    <w:rsid w:val="00065E1D"/>
    <w:rsid w:val="000664CA"/>
    <w:rsid w:val="00067565"/>
    <w:rsid w:val="00067A09"/>
    <w:rsid w:val="000746B0"/>
    <w:rsid w:val="000748C4"/>
    <w:rsid w:val="00074A66"/>
    <w:rsid w:val="00075584"/>
    <w:rsid w:val="00080FF5"/>
    <w:rsid w:val="000828E7"/>
    <w:rsid w:val="000829F0"/>
    <w:rsid w:val="00082F57"/>
    <w:rsid w:val="00083131"/>
    <w:rsid w:val="000837AD"/>
    <w:rsid w:val="000846AB"/>
    <w:rsid w:val="00084723"/>
    <w:rsid w:val="00085475"/>
    <w:rsid w:val="00094820"/>
    <w:rsid w:val="0009542B"/>
    <w:rsid w:val="00096E3F"/>
    <w:rsid w:val="000A25FF"/>
    <w:rsid w:val="000A4615"/>
    <w:rsid w:val="000A4EE0"/>
    <w:rsid w:val="000B21F6"/>
    <w:rsid w:val="000B24D3"/>
    <w:rsid w:val="000B5898"/>
    <w:rsid w:val="000B5A16"/>
    <w:rsid w:val="000B5F48"/>
    <w:rsid w:val="000B77BA"/>
    <w:rsid w:val="000B7A98"/>
    <w:rsid w:val="000C6394"/>
    <w:rsid w:val="000C63DD"/>
    <w:rsid w:val="000C7D2F"/>
    <w:rsid w:val="000D01C6"/>
    <w:rsid w:val="000D047E"/>
    <w:rsid w:val="000D3E4F"/>
    <w:rsid w:val="000D443C"/>
    <w:rsid w:val="000D48CD"/>
    <w:rsid w:val="000D53E0"/>
    <w:rsid w:val="000D604A"/>
    <w:rsid w:val="000D63C3"/>
    <w:rsid w:val="000D6628"/>
    <w:rsid w:val="000D668B"/>
    <w:rsid w:val="000E2D4C"/>
    <w:rsid w:val="000E3905"/>
    <w:rsid w:val="000E547C"/>
    <w:rsid w:val="000E6966"/>
    <w:rsid w:val="000E6EB1"/>
    <w:rsid w:val="000F0E1F"/>
    <w:rsid w:val="000F1A73"/>
    <w:rsid w:val="000F2E1F"/>
    <w:rsid w:val="000F41DC"/>
    <w:rsid w:val="000F5B84"/>
    <w:rsid w:val="000F6A41"/>
    <w:rsid w:val="00101F60"/>
    <w:rsid w:val="0010469C"/>
    <w:rsid w:val="001060E4"/>
    <w:rsid w:val="001101AC"/>
    <w:rsid w:val="001101BF"/>
    <w:rsid w:val="0011063D"/>
    <w:rsid w:val="001109FE"/>
    <w:rsid w:val="0011364C"/>
    <w:rsid w:val="00113C62"/>
    <w:rsid w:val="00113E61"/>
    <w:rsid w:val="00114F74"/>
    <w:rsid w:val="001153EC"/>
    <w:rsid w:val="001156F5"/>
    <w:rsid w:val="00117E80"/>
    <w:rsid w:val="001208A1"/>
    <w:rsid w:val="001237F8"/>
    <w:rsid w:val="00123DBA"/>
    <w:rsid w:val="00126A0C"/>
    <w:rsid w:val="00127795"/>
    <w:rsid w:val="0012784D"/>
    <w:rsid w:val="001345CC"/>
    <w:rsid w:val="00135261"/>
    <w:rsid w:val="00135B56"/>
    <w:rsid w:val="00135B68"/>
    <w:rsid w:val="00135F32"/>
    <w:rsid w:val="00137728"/>
    <w:rsid w:val="001408C0"/>
    <w:rsid w:val="0015018A"/>
    <w:rsid w:val="00153725"/>
    <w:rsid w:val="00155088"/>
    <w:rsid w:val="00157B2F"/>
    <w:rsid w:val="00157BD7"/>
    <w:rsid w:val="0016056D"/>
    <w:rsid w:val="00160966"/>
    <w:rsid w:val="001632F4"/>
    <w:rsid w:val="00164805"/>
    <w:rsid w:val="00164EED"/>
    <w:rsid w:val="00165C42"/>
    <w:rsid w:val="00167642"/>
    <w:rsid w:val="001676E4"/>
    <w:rsid w:val="0017380B"/>
    <w:rsid w:val="00173927"/>
    <w:rsid w:val="00174BBA"/>
    <w:rsid w:val="00176F9D"/>
    <w:rsid w:val="00177343"/>
    <w:rsid w:val="00177516"/>
    <w:rsid w:val="00180FCF"/>
    <w:rsid w:val="00181EDE"/>
    <w:rsid w:val="001824DE"/>
    <w:rsid w:val="001857E8"/>
    <w:rsid w:val="00185866"/>
    <w:rsid w:val="00186100"/>
    <w:rsid w:val="0018622B"/>
    <w:rsid w:val="0019261A"/>
    <w:rsid w:val="00193074"/>
    <w:rsid w:val="0019506E"/>
    <w:rsid w:val="001966DF"/>
    <w:rsid w:val="001A0918"/>
    <w:rsid w:val="001A3821"/>
    <w:rsid w:val="001A3D2E"/>
    <w:rsid w:val="001A40F9"/>
    <w:rsid w:val="001A708E"/>
    <w:rsid w:val="001B160A"/>
    <w:rsid w:val="001B16D4"/>
    <w:rsid w:val="001B22DB"/>
    <w:rsid w:val="001B3B65"/>
    <w:rsid w:val="001B3E88"/>
    <w:rsid w:val="001B4959"/>
    <w:rsid w:val="001B6738"/>
    <w:rsid w:val="001B72FB"/>
    <w:rsid w:val="001B7AF4"/>
    <w:rsid w:val="001C038D"/>
    <w:rsid w:val="001C2AEC"/>
    <w:rsid w:val="001C3A01"/>
    <w:rsid w:val="001C3E66"/>
    <w:rsid w:val="001C4991"/>
    <w:rsid w:val="001C4EF4"/>
    <w:rsid w:val="001C5E98"/>
    <w:rsid w:val="001C67B1"/>
    <w:rsid w:val="001C7E7F"/>
    <w:rsid w:val="001D0146"/>
    <w:rsid w:val="001D02D1"/>
    <w:rsid w:val="001D06C9"/>
    <w:rsid w:val="001D0A29"/>
    <w:rsid w:val="001D17CC"/>
    <w:rsid w:val="001D56E0"/>
    <w:rsid w:val="001D719A"/>
    <w:rsid w:val="001E2783"/>
    <w:rsid w:val="001E392A"/>
    <w:rsid w:val="001E4554"/>
    <w:rsid w:val="001E7526"/>
    <w:rsid w:val="001E7D6A"/>
    <w:rsid w:val="001F02D3"/>
    <w:rsid w:val="001F0B6D"/>
    <w:rsid w:val="001F29DF"/>
    <w:rsid w:val="001F39A1"/>
    <w:rsid w:val="001F3BF7"/>
    <w:rsid w:val="001F4D1C"/>
    <w:rsid w:val="00200B72"/>
    <w:rsid w:val="00201ADE"/>
    <w:rsid w:val="00201FDD"/>
    <w:rsid w:val="002025A2"/>
    <w:rsid w:val="00202EED"/>
    <w:rsid w:val="00203A0E"/>
    <w:rsid w:val="00204813"/>
    <w:rsid w:val="0020619E"/>
    <w:rsid w:val="0020635D"/>
    <w:rsid w:val="00210E2A"/>
    <w:rsid w:val="0021234D"/>
    <w:rsid w:val="002126E6"/>
    <w:rsid w:val="00212D82"/>
    <w:rsid w:val="00214397"/>
    <w:rsid w:val="0021764C"/>
    <w:rsid w:val="00220861"/>
    <w:rsid w:val="002214FC"/>
    <w:rsid w:val="0022273E"/>
    <w:rsid w:val="0022425B"/>
    <w:rsid w:val="00227751"/>
    <w:rsid w:val="0023125E"/>
    <w:rsid w:val="00232498"/>
    <w:rsid w:val="0023318B"/>
    <w:rsid w:val="00236A2A"/>
    <w:rsid w:val="002371DB"/>
    <w:rsid w:val="002401F6"/>
    <w:rsid w:val="00240565"/>
    <w:rsid w:val="002407E5"/>
    <w:rsid w:val="0024166C"/>
    <w:rsid w:val="00241782"/>
    <w:rsid w:val="002429DE"/>
    <w:rsid w:val="00243335"/>
    <w:rsid w:val="00245360"/>
    <w:rsid w:val="0024702F"/>
    <w:rsid w:val="002505E4"/>
    <w:rsid w:val="00250BEB"/>
    <w:rsid w:val="00252102"/>
    <w:rsid w:val="00260986"/>
    <w:rsid w:val="00260BB4"/>
    <w:rsid w:val="002617CD"/>
    <w:rsid w:val="0026419E"/>
    <w:rsid w:val="00265474"/>
    <w:rsid w:val="00267E90"/>
    <w:rsid w:val="00270C12"/>
    <w:rsid w:val="002716FC"/>
    <w:rsid w:val="00273181"/>
    <w:rsid w:val="00274DE3"/>
    <w:rsid w:val="002766B9"/>
    <w:rsid w:val="00280F86"/>
    <w:rsid w:val="002845A4"/>
    <w:rsid w:val="0028485C"/>
    <w:rsid w:val="0028504C"/>
    <w:rsid w:val="00290153"/>
    <w:rsid w:val="00290FE3"/>
    <w:rsid w:val="00291984"/>
    <w:rsid w:val="00293A70"/>
    <w:rsid w:val="00293E80"/>
    <w:rsid w:val="00295756"/>
    <w:rsid w:val="002962C7"/>
    <w:rsid w:val="002968AF"/>
    <w:rsid w:val="002A18B8"/>
    <w:rsid w:val="002A2C15"/>
    <w:rsid w:val="002A3885"/>
    <w:rsid w:val="002A395A"/>
    <w:rsid w:val="002A4B3B"/>
    <w:rsid w:val="002A58FF"/>
    <w:rsid w:val="002A5C9A"/>
    <w:rsid w:val="002A6C7C"/>
    <w:rsid w:val="002B020E"/>
    <w:rsid w:val="002B0EE1"/>
    <w:rsid w:val="002B1BF2"/>
    <w:rsid w:val="002B1C1A"/>
    <w:rsid w:val="002B250C"/>
    <w:rsid w:val="002B5B9A"/>
    <w:rsid w:val="002B613C"/>
    <w:rsid w:val="002C1330"/>
    <w:rsid w:val="002C3602"/>
    <w:rsid w:val="002C3B4D"/>
    <w:rsid w:val="002C3BC7"/>
    <w:rsid w:val="002C3DBF"/>
    <w:rsid w:val="002C3F52"/>
    <w:rsid w:val="002C50E7"/>
    <w:rsid w:val="002C54EE"/>
    <w:rsid w:val="002C5F28"/>
    <w:rsid w:val="002C6CA5"/>
    <w:rsid w:val="002D07B8"/>
    <w:rsid w:val="002D0D18"/>
    <w:rsid w:val="002D116D"/>
    <w:rsid w:val="002D118C"/>
    <w:rsid w:val="002D1398"/>
    <w:rsid w:val="002D36E7"/>
    <w:rsid w:val="002D3D68"/>
    <w:rsid w:val="002D4240"/>
    <w:rsid w:val="002D4DF3"/>
    <w:rsid w:val="002D591F"/>
    <w:rsid w:val="002D5B9D"/>
    <w:rsid w:val="002D6B38"/>
    <w:rsid w:val="002D6CE7"/>
    <w:rsid w:val="002D7B5C"/>
    <w:rsid w:val="002E00DF"/>
    <w:rsid w:val="002E2C61"/>
    <w:rsid w:val="002E373F"/>
    <w:rsid w:val="002E4823"/>
    <w:rsid w:val="002E4B34"/>
    <w:rsid w:val="002E4DEA"/>
    <w:rsid w:val="002E4EA5"/>
    <w:rsid w:val="002E5923"/>
    <w:rsid w:val="002F1DFD"/>
    <w:rsid w:val="002F2A39"/>
    <w:rsid w:val="002F35C0"/>
    <w:rsid w:val="002F3E66"/>
    <w:rsid w:val="002F62B2"/>
    <w:rsid w:val="002F7026"/>
    <w:rsid w:val="002F70C8"/>
    <w:rsid w:val="00301DE7"/>
    <w:rsid w:val="0030358C"/>
    <w:rsid w:val="00305B79"/>
    <w:rsid w:val="00305EDF"/>
    <w:rsid w:val="003070F5"/>
    <w:rsid w:val="00312C11"/>
    <w:rsid w:val="00313272"/>
    <w:rsid w:val="0031437D"/>
    <w:rsid w:val="0031450A"/>
    <w:rsid w:val="00314C6C"/>
    <w:rsid w:val="00316A2B"/>
    <w:rsid w:val="00316B31"/>
    <w:rsid w:val="0031736D"/>
    <w:rsid w:val="003177AA"/>
    <w:rsid w:val="00317DE2"/>
    <w:rsid w:val="0032062E"/>
    <w:rsid w:val="0032117D"/>
    <w:rsid w:val="003268D2"/>
    <w:rsid w:val="00326AEB"/>
    <w:rsid w:val="0033073E"/>
    <w:rsid w:val="00331256"/>
    <w:rsid w:val="003326B2"/>
    <w:rsid w:val="00333900"/>
    <w:rsid w:val="00334DF9"/>
    <w:rsid w:val="003360D6"/>
    <w:rsid w:val="00337C83"/>
    <w:rsid w:val="003403D6"/>
    <w:rsid w:val="00340B6D"/>
    <w:rsid w:val="0034153E"/>
    <w:rsid w:val="00341FEE"/>
    <w:rsid w:val="00342E46"/>
    <w:rsid w:val="003432C4"/>
    <w:rsid w:val="00343576"/>
    <w:rsid w:val="00346287"/>
    <w:rsid w:val="00346F6D"/>
    <w:rsid w:val="00350F2E"/>
    <w:rsid w:val="00351CAB"/>
    <w:rsid w:val="003557E8"/>
    <w:rsid w:val="003569C4"/>
    <w:rsid w:val="00360451"/>
    <w:rsid w:val="003622C6"/>
    <w:rsid w:val="0036384C"/>
    <w:rsid w:val="00366E31"/>
    <w:rsid w:val="00367F38"/>
    <w:rsid w:val="003701E8"/>
    <w:rsid w:val="003727D1"/>
    <w:rsid w:val="00373CBF"/>
    <w:rsid w:val="003742D7"/>
    <w:rsid w:val="00375A0A"/>
    <w:rsid w:val="00377EF3"/>
    <w:rsid w:val="00380137"/>
    <w:rsid w:val="0038040D"/>
    <w:rsid w:val="003816D4"/>
    <w:rsid w:val="003834C7"/>
    <w:rsid w:val="0038553D"/>
    <w:rsid w:val="00391C9D"/>
    <w:rsid w:val="003926BE"/>
    <w:rsid w:val="003927DD"/>
    <w:rsid w:val="00395D4B"/>
    <w:rsid w:val="003A231D"/>
    <w:rsid w:val="003A2F69"/>
    <w:rsid w:val="003A4D19"/>
    <w:rsid w:val="003A7109"/>
    <w:rsid w:val="003B09A8"/>
    <w:rsid w:val="003B3BEE"/>
    <w:rsid w:val="003B3CBE"/>
    <w:rsid w:val="003B3ECD"/>
    <w:rsid w:val="003B71F4"/>
    <w:rsid w:val="003C026E"/>
    <w:rsid w:val="003C3214"/>
    <w:rsid w:val="003C3A5A"/>
    <w:rsid w:val="003C4F55"/>
    <w:rsid w:val="003C5329"/>
    <w:rsid w:val="003C6447"/>
    <w:rsid w:val="003D1277"/>
    <w:rsid w:val="003D20C7"/>
    <w:rsid w:val="003D473B"/>
    <w:rsid w:val="003D615C"/>
    <w:rsid w:val="003D6801"/>
    <w:rsid w:val="003D77FF"/>
    <w:rsid w:val="003D7A5B"/>
    <w:rsid w:val="003E0464"/>
    <w:rsid w:val="003E438B"/>
    <w:rsid w:val="003E4A46"/>
    <w:rsid w:val="003E5CDF"/>
    <w:rsid w:val="003E623F"/>
    <w:rsid w:val="003E77F3"/>
    <w:rsid w:val="003F1F94"/>
    <w:rsid w:val="003F3EF5"/>
    <w:rsid w:val="003F4109"/>
    <w:rsid w:val="003F59DC"/>
    <w:rsid w:val="003F5CAA"/>
    <w:rsid w:val="003F6662"/>
    <w:rsid w:val="003F752B"/>
    <w:rsid w:val="003F7D84"/>
    <w:rsid w:val="004001A9"/>
    <w:rsid w:val="004002F1"/>
    <w:rsid w:val="00405837"/>
    <w:rsid w:val="004068E3"/>
    <w:rsid w:val="00406A86"/>
    <w:rsid w:val="00411A6D"/>
    <w:rsid w:val="00411ACA"/>
    <w:rsid w:val="0041303A"/>
    <w:rsid w:val="00414AB1"/>
    <w:rsid w:val="00416373"/>
    <w:rsid w:val="00416D0D"/>
    <w:rsid w:val="00417028"/>
    <w:rsid w:val="004201D7"/>
    <w:rsid w:val="00420A3F"/>
    <w:rsid w:val="004222E6"/>
    <w:rsid w:val="004227C7"/>
    <w:rsid w:val="00423BC5"/>
    <w:rsid w:val="00423C27"/>
    <w:rsid w:val="00425326"/>
    <w:rsid w:val="00425539"/>
    <w:rsid w:val="0042626B"/>
    <w:rsid w:val="00426DF8"/>
    <w:rsid w:val="0043050A"/>
    <w:rsid w:val="00432B03"/>
    <w:rsid w:val="00435014"/>
    <w:rsid w:val="00440939"/>
    <w:rsid w:val="00440ED1"/>
    <w:rsid w:val="0044200A"/>
    <w:rsid w:val="00442FD0"/>
    <w:rsid w:val="0044478B"/>
    <w:rsid w:val="00445070"/>
    <w:rsid w:val="00446D1C"/>
    <w:rsid w:val="00450C6A"/>
    <w:rsid w:val="00450F2F"/>
    <w:rsid w:val="00452967"/>
    <w:rsid w:val="00452D29"/>
    <w:rsid w:val="00453D9B"/>
    <w:rsid w:val="004572B2"/>
    <w:rsid w:val="00462083"/>
    <w:rsid w:val="00463CBA"/>
    <w:rsid w:val="00464317"/>
    <w:rsid w:val="00465472"/>
    <w:rsid w:val="00465792"/>
    <w:rsid w:val="004724B6"/>
    <w:rsid w:val="004736D0"/>
    <w:rsid w:val="004758E5"/>
    <w:rsid w:val="00476B55"/>
    <w:rsid w:val="00477508"/>
    <w:rsid w:val="00477773"/>
    <w:rsid w:val="00483F02"/>
    <w:rsid w:val="00484432"/>
    <w:rsid w:val="00484F5A"/>
    <w:rsid w:val="004854B2"/>
    <w:rsid w:val="00485503"/>
    <w:rsid w:val="00485C53"/>
    <w:rsid w:val="00486F87"/>
    <w:rsid w:val="00487D05"/>
    <w:rsid w:val="00491FFB"/>
    <w:rsid w:val="00492077"/>
    <w:rsid w:val="004944C0"/>
    <w:rsid w:val="00495BA2"/>
    <w:rsid w:val="00496252"/>
    <w:rsid w:val="004A1845"/>
    <w:rsid w:val="004A3367"/>
    <w:rsid w:val="004A6844"/>
    <w:rsid w:val="004B2FB8"/>
    <w:rsid w:val="004B3E03"/>
    <w:rsid w:val="004B4A4A"/>
    <w:rsid w:val="004B5593"/>
    <w:rsid w:val="004B5E76"/>
    <w:rsid w:val="004B675E"/>
    <w:rsid w:val="004C19E1"/>
    <w:rsid w:val="004C2187"/>
    <w:rsid w:val="004D095E"/>
    <w:rsid w:val="004D0CE1"/>
    <w:rsid w:val="004D18A1"/>
    <w:rsid w:val="004D3338"/>
    <w:rsid w:val="004D6011"/>
    <w:rsid w:val="004D6433"/>
    <w:rsid w:val="004D7572"/>
    <w:rsid w:val="004D7D83"/>
    <w:rsid w:val="004E0D59"/>
    <w:rsid w:val="004F029A"/>
    <w:rsid w:val="004F0B38"/>
    <w:rsid w:val="004F303B"/>
    <w:rsid w:val="004F4A8E"/>
    <w:rsid w:val="004F4B15"/>
    <w:rsid w:val="004F6CB8"/>
    <w:rsid w:val="004F78A8"/>
    <w:rsid w:val="004F7E4D"/>
    <w:rsid w:val="00503E77"/>
    <w:rsid w:val="005062B5"/>
    <w:rsid w:val="00507B65"/>
    <w:rsid w:val="00510997"/>
    <w:rsid w:val="0051538B"/>
    <w:rsid w:val="00515DEA"/>
    <w:rsid w:val="00516280"/>
    <w:rsid w:val="0051629B"/>
    <w:rsid w:val="005164D0"/>
    <w:rsid w:val="00516702"/>
    <w:rsid w:val="0052028C"/>
    <w:rsid w:val="00524B00"/>
    <w:rsid w:val="00524C69"/>
    <w:rsid w:val="005265B7"/>
    <w:rsid w:val="005271DB"/>
    <w:rsid w:val="00532345"/>
    <w:rsid w:val="00533980"/>
    <w:rsid w:val="00533C4C"/>
    <w:rsid w:val="00533CB6"/>
    <w:rsid w:val="00533D9C"/>
    <w:rsid w:val="00536E9E"/>
    <w:rsid w:val="00537176"/>
    <w:rsid w:val="005415EB"/>
    <w:rsid w:val="00544961"/>
    <w:rsid w:val="0054522D"/>
    <w:rsid w:val="005453EB"/>
    <w:rsid w:val="00546D11"/>
    <w:rsid w:val="0054713D"/>
    <w:rsid w:val="00550F5D"/>
    <w:rsid w:val="00555316"/>
    <w:rsid w:val="00556AD5"/>
    <w:rsid w:val="0056091E"/>
    <w:rsid w:val="00560EAE"/>
    <w:rsid w:val="00561D67"/>
    <w:rsid w:val="0056467A"/>
    <w:rsid w:val="00564B74"/>
    <w:rsid w:val="005669F7"/>
    <w:rsid w:val="00567694"/>
    <w:rsid w:val="00567E96"/>
    <w:rsid w:val="00570B78"/>
    <w:rsid w:val="00570C15"/>
    <w:rsid w:val="00570C58"/>
    <w:rsid w:val="00570FD3"/>
    <w:rsid w:val="00571051"/>
    <w:rsid w:val="00572981"/>
    <w:rsid w:val="0057382F"/>
    <w:rsid w:val="005746B0"/>
    <w:rsid w:val="0057478E"/>
    <w:rsid w:val="00575072"/>
    <w:rsid w:val="0057525E"/>
    <w:rsid w:val="00575966"/>
    <w:rsid w:val="00576755"/>
    <w:rsid w:val="00580F18"/>
    <w:rsid w:val="00581693"/>
    <w:rsid w:val="0058229F"/>
    <w:rsid w:val="00586440"/>
    <w:rsid w:val="00586554"/>
    <w:rsid w:val="00587357"/>
    <w:rsid w:val="0059055C"/>
    <w:rsid w:val="005908AE"/>
    <w:rsid w:val="00590959"/>
    <w:rsid w:val="00591CE2"/>
    <w:rsid w:val="005937CA"/>
    <w:rsid w:val="005947E5"/>
    <w:rsid w:val="00594F6F"/>
    <w:rsid w:val="005952CC"/>
    <w:rsid w:val="0059617C"/>
    <w:rsid w:val="005A0F01"/>
    <w:rsid w:val="005A1309"/>
    <w:rsid w:val="005A6896"/>
    <w:rsid w:val="005A6EA5"/>
    <w:rsid w:val="005A721D"/>
    <w:rsid w:val="005B0909"/>
    <w:rsid w:val="005B3FE3"/>
    <w:rsid w:val="005B4FBB"/>
    <w:rsid w:val="005B5073"/>
    <w:rsid w:val="005C065A"/>
    <w:rsid w:val="005C0C65"/>
    <w:rsid w:val="005C20F2"/>
    <w:rsid w:val="005C2845"/>
    <w:rsid w:val="005C2CDC"/>
    <w:rsid w:val="005C32F1"/>
    <w:rsid w:val="005C3E0F"/>
    <w:rsid w:val="005C484B"/>
    <w:rsid w:val="005C55E7"/>
    <w:rsid w:val="005D07E6"/>
    <w:rsid w:val="005D1ABC"/>
    <w:rsid w:val="005D1AD7"/>
    <w:rsid w:val="005D32FF"/>
    <w:rsid w:val="005D5D5F"/>
    <w:rsid w:val="005D6CA3"/>
    <w:rsid w:val="005E0FD9"/>
    <w:rsid w:val="005E1EB8"/>
    <w:rsid w:val="005E2D89"/>
    <w:rsid w:val="005E377C"/>
    <w:rsid w:val="005E68CC"/>
    <w:rsid w:val="005F1781"/>
    <w:rsid w:val="005F2691"/>
    <w:rsid w:val="005F3D4E"/>
    <w:rsid w:val="005F405E"/>
    <w:rsid w:val="005F4D14"/>
    <w:rsid w:val="00600625"/>
    <w:rsid w:val="00600EA0"/>
    <w:rsid w:val="00601F4C"/>
    <w:rsid w:val="00603311"/>
    <w:rsid w:val="006041D6"/>
    <w:rsid w:val="0060429A"/>
    <w:rsid w:val="006047F5"/>
    <w:rsid w:val="00604F9F"/>
    <w:rsid w:val="0060582C"/>
    <w:rsid w:val="00605DCE"/>
    <w:rsid w:val="00607244"/>
    <w:rsid w:val="0061127F"/>
    <w:rsid w:val="0061132B"/>
    <w:rsid w:val="00612624"/>
    <w:rsid w:val="00612DCF"/>
    <w:rsid w:val="00614136"/>
    <w:rsid w:val="006218EF"/>
    <w:rsid w:val="00623A64"/>
    <w:rsid w:val="00624E4D"/>
    <w:rsid w:val="00625ACA"/>
    <w:rsid w:val="00631B18"/>
    <w:rsid w:val="0063285F"/>
    <w:rsid w:val="006336A1"/>
    <w:rsid w:val="00636229"/>
    <w:rsid w:val="00637286"/>
    <w:rsid w:val="006404DA"/>
    <w:rsid w:val="006405FD"/>
    <w:rsid w:val="0064148D"/>
    <w:rsid w:val="00641BA7"/>
    <w:rsid w:val="00643AC6"/>
    <w:rsid w:val="006442E2"/>
    <w:rsid w:val="00644598"/>
    <w:rsid w:val="006461C3"/>
    <w:rsid w:val="00650826"/>
    <w:rsid w:val="0065275E"/>
    <w:rsid w:val="00653623"/>
    <w:rsid w:val="0065423D"/>
    <w:rsid w:val="0065509B"/>
    <w:rsid w:val="0065579D"/>
    <w:rsid w:val="00663D48"/>
    <w:rsid w:val="00664937"/>
    <w:rsid w:val="00670652"/>
    <w:rsid w:val="0067290C"/>
    <w:rsid w:val="00673414"/>
    <w:rsid w:val="00675074"/>
    <w:rsid w:val="00676B86"/>
    <w:rsid w:val="00681E43"/>
    <w:rsid w:val="00684F5C"/>
    <w:rsid w:val="006851E6"/>
    <w:rsid w:val="006904E6"/>
    <w:rsid w:val="00691930"/>
    <w:rsid w:val="0069197E"/>
    <w:rsid w:val="00694079"/>
    <w:rsid w:val="00694F2C"/>
    <w:rsid w:val="00695525"/>
    <w:rsid w:val="00695F5B"/>
    <w:rsid w:val="00696824"/>
    <w:rsid w:val="0069741F"/>
    <w:rsid w:val="006A1BFB"/>
    <w:rsid w:val="006A29C0"/>
    <w:rsid w:val="006A3957"/>
    <w:rsid w:val="006A4CD8"/>
    <w:rsid w:val="006A61BA"/>
    <w:rsid w:val="006A6A77"/>
    <w:rsid w:val="006A6CC8"/>
    <w:rsid w:val="006A79CD"/>
    <w:rsid w:val="006B0395"/>
    <w:rsid w:val="006B04E0"/>
    <w:rsid w:val="006B0890"/>
    <w:rsid w:val="006B0F01"/>
    <w:rsid w:val="006B262B"/>
    <w:rsid w:val="006B3C26"/>
    <w:rsid w:val="006B4545"/>
    <w:rsid w:val="006B4DB7"/>
    <w:rsid w:val="006B5E72"/>
    <w:rsid w:val="006B645B"/>
    <w:rsid w:val="006B655D"/>
    <w:rsid w:val="006B749F"/>
    <w:rsid w:val="006C13EC"/>
    <w:rsid w:val="006C1C36"/>
    <w:rsid w:val="006C1F07"/>
    <w:rsid w:val="006C2431"/>
    <w:rsid w:val="006C4F8A"/>
    <w:rsid w:val="006C533D"/>
    <w:rsid w:val="006C5519"/>
    <w:rsid w:val="006C6339"/>
    <w:rsid w:val="006D03D9"/>
    <w:rsid w:val="006D2369"/>
    <w:rsid w:val="006D3A0E"/>
    <w:rsid w:val="006D5442"/>
    <w:rsid w:val="006D5AA4"/>
    <w:rsid w:val="006D7414"/>
    <w:rsid w:val="006D75EE"/>
    <w:rsid w:val="006D7EC8"/>
    <w:rsid w:val="006E0000"/>
    <w:rsid w:val="006E0393"/>
    <w:rsid w:val="006E16FE"/>
    <w:rsid w:val="006E20C3"/>
    <w:rsid w:val="006E6551"/>
    <w:rsid w:val="006F0908"/>
    <w:rsid w:val="006F0B6E"/>
    <w:rsid w:val="006F0DEF"/>
    <w:rsid w:val="006F1547"/>
    <w:rsid w:val="006F166A"/>
    <w:rsid w:val="006F1FE8"/>
    <w:rsid w:val="006F411F"/>
    <w:rsid w:val="00702FE6"/>
    <w:rsid w:val="00703457"/>
    <w:rsid w:val="00703D95"/>
    <w:rsid w:val="00705DCA"/>
    <w:rsid w:val="007108F8"/>
    <w:rsid w:val="00711259"/>
    <w:rsid w:val="00712744"/>
    <w:rsid w:val="007131C7"/>
    <w:rsid w:val="0071417B"/>
    <w:rsid w:val="00714A8F"/>
    <w:rsid w:val="00716053"/>
    <w:rsid w:val="00721DD5"/>
    <w:rsid w:val="00722516"/>
    <w:rsid w:val="007236D1"/>
    <w:rsid w:val="0072408E"/>
    <w:rsid w:val="007253FA"/>
    <w:rsid w:val="0072602B"/>
    <w:rsid w:val="00726366"/>
    <w:rsid w:val="00730DFB"/>
    <w:rsid w:val="007340BC"/>
    <w:rsid w:val="00734556"/>
    <w:rsid w:val="007348B4"/>
    <w:rsid w:val="00734DBB"/>
    <w:rsid w:val="007360DC"/>
    <w:rsid w:val="00737998"/>
    <w:rsid w:val="00740FCD"/>
    <w:rsid w:val="007437B8"/>
    <w:rsid w:val="00750292"/>
    <w:rsid w:val="00751314"/>
    <w:rsid w:val="00751A33"/>
    <w:rsid w:val="00751D13"/>
    <w:rsid w:val="0075209C"/>
    <w:rsid w:val="007529C9"/>
    <w:rsid w:val="00753E69"/>
    <w:rsid w:val="00754723"/>
    <w:rsid w:val="00754AAF"/>
    <w:rsid w:val="00755BB8"/>
    <w:rsid w:val="007617E5"/>
    <w:rsid w:val="00761C1C"/>
    <w:rsid w:val="00763657"/>
    <w:rsid w:val="00764A8D"/>
    <w:rsid w:val="00767228"/>
    <w:rsid w:val="00772F6F"/>
    <w:rsid w:val="00775731"/>
    <w:rsid w:val="007758EA"/>
    <w:rsid w:val="007759BC"/>
    <w:rsid w:val="00775C84"/>
    <w:rsid w:val="00776CA9"/>
    <w:rsid w:val="007802BC"/>
    <w:rsid w:val="007807DD"/>
    <w:rsid w:val="00780D3D"/>
    <w:rsid w:val="0078277C"/>
    <w:rsid w:val="00783026"/>
    <w:rsid w:val="00783678"/>
    <w:rsid w:val="00783E89"/>
    <w:rsid w:val="007844FD"/>
    <w:rsid w:val="007845E8"/>
    <w:rsid w:val="00785AA4"/>
    <w:rsid w:val="0078664B"/>
    <w:rsid w:val="007866B2"/>
    <w:rsid w:val="00786E23"/>
    <w:rsid w:val="00786E98"/>
    <w:rsid w:val="00787C6C"/>
    <w:rsid w:val="0079050A"/>
    <w:rsid w:val="00791513"/>
    <w:rsid w:val="00791E2B"/>
    <w:rsid w:val="00791F47"/>
    <w:rsid w:val="007936BD"/>
    <w:rsid w:val="00793AFF"/>
    <w:rsid w:val="00793D20"/>
    <w:rsid w:val="00794710"/>
    <w:rsid w:val="00794FAE"/>
    <w:rsid w:val="007954DA"/>
    <w:rsid w:val="00796231"/>
    <w:rsid w:val="007A05F1"/>
    <w:rsid w:val="007A198F"/>
    <w:rsid w:val="007A1BC4"/>
    <w:rsid w:val="007A2CC7"/>
    <w:rsid w:val="007A45F9"/>
    <w:rsid w:val="007B0246"/>
    <w:rsid w:val="007B04E5"/>
    <w:rsid w:val="007B19A6"/>
    <w:rsid w:val="007B6950"/>
    <w:rsid w:val="007B7142"/>
    <w:rsid w:val="007B76DE"/>
    <w:rsid w:val="007C2D08"/>
    <w:rsid w:val="007C3B15"/>
    <w:rsid w:val="007C4115"/>
    <w:rsid w:val="007C5F65"/>
    <w:rsid w:val="007C7C3C"/>
    <w:rsid w:val="007D0373"/>
    <w:rsid w:val="007D0722"/>
    <w:rsid w:val="007D4FD7"/>
    <w:rsid w:val="007D5923"/>
    <w:rsid w:val="007E0BAD"/>
    <w:rsid w:val="007E1786"/>
    <w:rsid w:val="007E1EFD"/>
    <w:rsid w:val="007E6412"/>
    <w:rsid w:val="007E7178"/>
    <w:rsid w:val="007E7577"/>
    <w:rsid w:val="007E7DAC"/>
    <w:rsid w:val="007F0326"/>
    <w:rsid w:val="007F09D9"/>
    <w:rsid w:val="007F2CEB"/>
    <w:rsid w:val="007F4349"/>
    <w:rsid w:val="007F43B3"/>
    <w:rsid w:val="007F4D26"/>
    <w:rsid w:val="007F5843"/>
    <w:rsid w:val="00802825"/>
    <w:rsid w:val="00802AFA"/>
    <w:rsid w:val="008032DD"/>
    <w:rsid w:val="00804B36"/>
    <w:rsid w:val="00804F59"/>
    <w:rsid w:val="00805548"/>
    <w:rsid w:val="00805C9F"/>
    <w:rsid w:val="00807A36"/>
    <w:rsid w:val="0081226C"/>
    <w:rsid w:val="00813AB4"/>
    <w:rsid w:val="008141C9"/>
    <w:rsid w:val="00820EBD"/>
    <w:rsid w:val="00824E41"/>
    <w:rsid w:val="00825A0B"/>
    <w:rsid w:val="00825DDF"/>
    <w:rsid w:val="00827503"/>
    <w:rsid w:val="008278B4"/>
    <w:rsid w:val="00827D19"/>
    <w:rsid w:val="00831101"/>
    <w:rsid w:val="008313BE"/>
    <w:rsid w:val="00832341"/>
    <w:rsid w:val="00832BD2"/>
    <w:rsid w:val="008340E9"/>
    <w:rsid w:val="00834896"/>
    <w:rsid w:val="0083500F"/>
    <w:rsid w:val="0083568B"/>
    <w:rsid w:val="00835778"/>
    <w:rsid w:val="008375A9"/>
    <w:rsid w:val="008401D3"/>
    <w:rsid w:val="00844523"/>
    <w:rsid w:val="008468A4"/>
    <w:rsid w:val="008506BD"/>
    <w:rsid w:val="0085118B"/>
    <w:rsid w:val="00851467"/>
    <w:rsid w:val="00851D75"/>
    <w:rsid w:val="00854A30"/>
    <w:rsid w:val="00855A8E"/>
    <w:rsid w:val="008562DA"/>
    <w:rsid w:val="00856C94"/>
    <w:rsid w:val="00860C76"/>
    <w:rsid w:val="00861583"/>
    <w:rsid w:val="0086262B"/>
    <w:rsid w:val="00867133"/>
    <w:rsid w:val="0087018B"/>
    <w:rsid w:val="00870B0E"/>
    <w:rsid w:val="00872869"/>
    <w:rsid w:val="00873CB5"/>
    <w:rsid w:val="008773D5"/>
    <w:rsid w:val="008814E1"/>
    <w:rsid w:val="008825DF"/>
    <w:rsid w:val="00882DA1"/>
    <w:rsid w:val="00882EA2"/>
    <w:rsid w:val="008832BB"/>
    <w:rsid w:val="00883442"/>
    <w:rsid w:val="0088603B"/>
    <w:rsid w:val="008918EA"/>
    <w:rsid w:val="008921E1"/>
    <w:rsid w:val="008925D5"/>
    <w:rsid w:val="00893274"/>
    <w:rsid w:val="00894D5D"/>
    <w:rsid w:val="008955AD"/>
    <w:rsid w:val="00896148"/>
    <w:rsid w:val="0089633E"/>
    <w:rsid w:val="00897A7E"/>
    <w:rsid w:val="00897CC7"/>
    <w:rsid w:val="00897E95"/>
    <w:rsid w:val="008A78E7"/>
    <w:rsid w:val="008A7984"/>
    <w:rsid w:val="008A7E1D"/>
    <w:rsid w:val="008A7EF4"/>
    <w:rsid w:val="008B0389"/>
    <w:rsid w:val="008B1023"/>
    <w:rsid w:val="008B4B5D"/>
    <w:rsid w:val="008B5CC1"/>
    <w:rsid w:val="008B65B4"/>
    <w:rsid w:val="008C13DB"/>
    <w:rsid w:val="008C15F1"/>
    <w:rsid w:val="008C1A40"/>
    <w:rsid w:val="008C2180"/>
    <w:rsid w:val="008C41AF"/>
    <w:rsid w:val="008C6BD0"/>
    <w:rsid w:val="008C6EDC"/>
    <w:rsid w:val="008C7FF9"/>
    <w:rsid w:val="008D235F"/>
    <w:rsid w:val="008D44C7"/>
    <w:rsid w:val="008D46D2"/>
    <w:rsid w:val="008D53AE"/>
    <w:rsid w:val="008D5C35"/>
    <w:rsid w:val="008D5E91"/>
    <w:rsid w:val="008E047D"/>
    <w:rsid w:val="008E0C28"/>
    <w:rsid w:val="008E118E"/>
    <w:rsid w:val="008E1567"/>
    <w:rsid w:val="008E1BCA"/>
    <w:rsid w:val="008E21DD"/>
    <w:rsid w:val="008E25A4"/>
    <w:rsid w:val="008E290E"/>
    <w:rsid w:val="008E3C38"/>
    <w:rsid w:val="008E3D71"/>
    <w:rsid w:val="008E4AB6"/>
    <w:rsid w:val="008E7FC7"/>
    <w:rsid w:val="008F1449"/>
    <w:rsid w:val="008F153F"/>
    <w:rsid w:val="008F1D1E"/>
    <w:rsid w:val="008F3333"/>
    <w:rsid w:val="008F3B8D"/>
    <w:rsid w:val="008F4EF0"/>
    <w:rsid w:val="008F6FE5"/>
    <w:rsid w:val="008F7769"/>
    <w:rsid w:val="009011AE"/>
    <w:rsid w:val="00904284"/>
    <w:rsid w:val="009068BE"/>
    <w:rsid w:val="009074C4"/>
    <w:rsid w:val="00907CBF"/>
    <w:rsid w:val="0091090F"/>
    <w:rsid w:val="00911E06"/>
    <w:rsid w:val="00912DF8"/>
    <w:rsid w:val="00912EFB"/>
    <w:rsid w:val="00913430"/>
    <w:rsid w:val="009139ED"/>
    <w:rsid w:val="00914648"/>
    <w:rsid w:val="009146CF"/>
    <w:rsid w:val="00914CF9"/>
    <w:rsid w:val="00915BE6"/>
    <w:rsid w:val="009174AB"/>
    <w:rsid w:val="00917D47"/>
    <w:rsid w:val="00924497"/>
    <w:rsid w:val="00924D7E"/>
    <w:rsid w:val="0092722E"/>
    <w:rsid w:val="00934684"/>
    <w:rsid w:val="00937205"/>
    <w:rsid w:val="0094328B"/>
    <w:rsid w:val="00946DC8"/>
    <w:rsid w:val="00946F55"/>
    <w:rsid w:val="00947B49"/>
    <w:rsid w:val="00947E87"/>
    <w:rsid w:val="00950015"/>
    <w:rsid w:val="0095349A"/>
    <w:rsid w:val="00955250"/>
    <w:rsid w:val="0095574E"/>
    <w:rsid w:val="00955C20"/>
    <w:rsid w:val="00960972"/>
    <w:rsid w:val="00960CBF"/>
    <w:rsid w:val="00961114"/>
    <w:rsid w:val="00961A91"/>
    <w:rsid w:val="00961F7A"/>
    <w:rsid w:val="00962A0B"/>
    <w:rsid w:val="0096398A"/>
    <w:rsid w:val="009642E1"/>
    <w:rsid w:val="0097070E"/>
    <w:rsid w:val="0097662E"/>
    <w:rsid w:val="0097673B"/>
    <w:rsid w:val="0097675D"/>
    <w:rsid w:val="0097709E"/>
    <w:rsid w:val="00980930"/>
    <w:rsid w:val="009809B9"/>
    <w:rsid w:val="00981129"/>
    <w:rsid w:val="009813AE"/>
    <w:rsid w:val="00981D12"/>
    <w:rsid w:val="00981E7C"/>
    <w:rsid w:val="0098368F"/>
    <w:rsid w:val="00986C10"/>
    <w:rsid w:val="00990A31"/>
    <w:rsid w:val="00990C05"/>
    <w:rsid w:val="00990C50"/>
    <w:rsid w:val="0099280D"/>
    <w:rsid w:val="00993FA2"/>
    <w:rsid w:val="0099408B"/>
    <w:rsid w:val="00994880"/>
    <w:rsid w:val="009949F0"/>
    <w:rsid w:val="00994A9A"/>
    <w:rsid w:val="00994FB0"/>
    <w:rsid w:val="00996908"/>
    <w:rsid w:val="009A0874"/>
    <w:rsid w:val="009B0A32"/>
    <w:rsid w:val="009B11C7"/>
    <w:rsid w:val="009B41B8"/>
    <w:rsid w:val="009B6F64"/>
    <w:rsid w:val="009B7C4A"/>
    <w:rsid w:val="009C3DA6"/>
    <w:rsid w:val="009D1A7A"/>
    <w:rsid w:val="009D2EFA"/>
    <w:rsid w:val="009D39D5"/>
    <w:rsid w:val="009D538A"/>
    <w:rsid w:val="009D5742"/>
    <w:rsid w:val="009E01A3"/>
    <w:rsid w:val="009E052E"/>
    <w:rsid w:val="009E0EEA"/>
    <w:rsid w:val="009E1D37"/>
    <w:rsid w:val="009E3342"/>
    <w:rsid w:val="009E5838"/>
    <w:rsid w:val="009F166F"/>
    <w:rsid w:val="009F2035"/>
    <w:rsid w:val="009F33B1"/>
    <w:rsid w:val="009F3BAE"/>
    <w:rsid w:val="009F4883"/>
    <w:rsid w:val="009F5632"/>
    <w:rsid w:val="009F58A4"/>
    <w:rsid w:val="009F6AD1"/>
    <w:rsid w:val="009F7B73"/>
    <w:rsid w:val="00A0218F"/>
    <w:rsid w:val="00A057D3"/>
    <w:rsid w:val="00A10D30"/>
    <w:rsid w:val="00A12C3B"/>
    <w:rsid w:val="00A14744"/>
    <w:rsid w:val="00A17CD1"/>
    <w:rsid w:val="00A20741"/>
    <w:rsid w:val="00A20826"/>
    <w:rsid w:val="00A21C9C"/>
    <w:rsid w:val="00A22DEE"/>
    <w:rsid w:val="00A24381"/>
    <w:rsid w:val="00A24790"/>
    <w:rsid w:val="00A25E30"/>
    <w:rsid w:val="00A2679A"/>
    <w:rsid w:val="00A2694E"/>
    <w:rsid w:val="00A26ABB"/>
    <w:rsid w:val="00A32AB8"/>
    <w:rsid w:val="00A32EE6"/>
    <w:rsid w:val="00A33087"/>
    <w:rsid w:val="00A33635"/>
    <w:rsid w:val="00A368CC"/>
    <w:rsid w:val="00A37075"/>
    <w:rsid w:val="00A4033C"/>
    <w:rsid w:val="00A4034A"/>
    <w:rsid w:val="00A4044C"/>
    <w:rsid w:val="00A404E0"/>
    <w:rsid w:val="00A411F4"/>
    <w:rsid w:val="00A43860"/>
    <w:rsid w:val="00A43D7A"/>
    <w:rsid w:val="00A52A39"/>
    <w:rsid w:val="00A53491"/>
    <w:rsid w:val="00A56B4F"/>
    <w:rsid w:val="00A57539"/>
    <w:rsid w:val="00A61352"/>
    <w:rsid w:val="00A624E3"/>
    <w:rsid w:val="00A6544D"/>
    <w:rsid w:val="00A65EF6"/>
    <w:rsid w:val="00A66AE3"/>
    <w:rsid w:val="00A70009"/>
    <w:rsid w:val="00A71DDA"/>
    <w:rsid w:val="00A73F51"/>
    <w:rsid w:val="00A7466A"/>
    <w:rsid w:val="00A74F96"/>
    <w:rsid w:val="00A80F21"/>
    <w:rsid w:val="00A816A7"/>
    <w:rsid w:val="00A81993"/>
    <w:rsid w:val="00A8207E"/>
    <w:rsid w:val="00A85D10"/>
    <w:rsid w:val="00A86B4A"/>
    <w:rsid w:val="00A87829"/>
    <w:rsid w:val="00A87ED0"/>
    <w:rsid w:val="00A87F51"/>
    <w:rsid w:val="00A90202"/>
    <w:rsid w:val="00A929E1"/>
    <w:rsid w:val="00A9377E"/>
    <w:rsid w:val="00A962CC"/>
    <w:rsid w:val="00AA03E7"/>
    <w:rsid w:val="00AA0EE9"/>
    <w:rsid w:val="00AA24EF"/>
    <w:rsid w:val="00AA2EBF"/>
    <w:rsid w:val="00AA32E4"/>
    <w:rsid w:val="00AA3454"/>
    <w:rsid w:val="00AA47CF"/>
    <w:rsid w:val="00AA51AC"/>
    <w:rsid w:val="00AA5553"/>
    <w:rsid w:val="00AA565B"/>
    <w:rsid w:val="00AA5819"/>
    <w:rsid w:val="00AA5CE0"/>
    <w:rsid w:val="00AA7062"/>
    <w:rsid w:val="00AA7D23"/>
    <w:rsid w:val="00AA7EE6"/>
    <w:rsid w:val="00AB0E08"/>
    <w:rsid w:val="00AB1914"/>
    <w:rsid w:val="00AB1AEE"/>
    <w:rsid w:val="00AB2AA2"/>
    <w:rsid w:val="00AB3CC5"/>
    <w:rsid w:val="00AB5541"/>
    <w:rsid w:val="00AC0635"/>
    <w:rsid w:val="00AC0F3B"/>
    <w:rsid w:val="00AC522A"/>
    <w:rsid w:val="00AC633C"/>
    <w:rsid w:val="00AD04B0"/>
    <w:rsid w:val="00AD0A8A"/>
    <w:rsid w:val="00AD1195"/>
    <w:rsid w:val="00AD1677"/>
    <w:rsid w:val="00AD2EBD"/>
    <w:rsid w:val="00AD3A85"/>
    <w:rsid w:val="00AD5126"/>
    <w:rsid w:val="00AE25C3"/>
    <w:rsid w:val="00AE37CE"/>
    <w:rsid w:val="00AE4F6C"/>
    <w:rsid w:val="00AE67C9"/>
    <w:rsid w:val="00AF073B"/>
    <w:rsid w:val="00AF1F8D"/>
    <w:rsid w:val="00AF3079"/>
    <w:rsid w:val="00AF43EC"/>
    <w:rsid w:val="00AF69F3"/>
    <w:rsid w:val="00B007A3"/>
    <w:rsid w:val="00B0263E"/>
    <w:rsid w:val="00B02746"/>
    <w:rsid w:val="00B02EBD"/>
    <w:rsid w:val="00B04C4D"/>
    <w:rsid w:val="00B04F18"/>
    <w:rsid w:val="00B04FA6"/>
    <w:rsid w:val="00B06159"/>
    <w:rsid w:val="00B07077"/>
    <w:rsid w:val="00B10097"/>
    <w:rsid w:val="00B100D0"/>
    <w:rsid w:val="00B1022D"/>
    <w:rsid w:val="00B112A1"/>
    <w:rsid w:val="00B11CBB"/>
    <w:rsid w:val="00B12CAA"/>
    <w:rsid w:val="00B1407B"/>
    <w:rsid w:val="00B14908"/>
    <w:rsid w:val="00B14EE5"/>
    <w:rsid w:val="00B1586D"/>
    <w:rsid w:val="00B172DB"/>
    <w:rsid w:val="00B17A0D"/>
    <w:rsid w:val="00B20176"/>
    <w:rsid w:val="00B20806"/>
    <w:rsid w:val="00B2242A"/>
    <w:rsid w:val="00B22813"/>
    <w:rsid w:val="00B23969"/>
    <w:rsid w:val="00B2592B"/>
    <w:rsid w:val="00B276CB"/>
    <w:rsid w:val="00B30EE3"/>
    <w:rsid w:val="00B31134"/>
    <w:rsid w:val="00B31B8F"/>
    <w:rsid w:val="00B33093"/>
    <w:rsid w:val="00B3499B"/>
    <w:rsid w:val="00B34C06"/>
    <w:rsid w:val="00B35207"/>
    <w:rsid w:val="00B37471"/>
    <w:rsid w:val="00B378BE"/>
    <w:rsid w:val="00B37C7E"/>
    <w:rsid w:val="00B417E1"/>
    <w:rsid w:val="00B42583"/>
    <w:rsid w:val="00B42FB6"/>
    <w:rsid w:val="00B44758"/>
    <w:rsid w:val="00B506FA"/>
    <w:rsid w:val="00B51297"/>
    <w:rsid w:val="00B522BF"/>
    <w:rsid w:val="00B52AAB"/>
    <w:rsid w:val="00B577E1"/>
    <w:rsid w:val="00B60A5C"/>
    <w:rsid w:val="00B6730F"/>
    <w:rsid w:val="00B70740"/>
    <w:rsid w:val="00B716FD"/>
    <w:rsid w:val="00B71E71"/>
    <w:rsid w:val="00B722D9"/>
    <w:rsid w:val="00B73A30"/>
    <w:rsid w:val="00B73E29"/>
    <w:rsid w:val="00B76FA9"/>
    <w:rsid w:val="00B7795E"/>
    <w:rsid w:val="00B82647"/>
    <w:rsid w:val="00B84250"/>
    <w:rsid w:val="00B85146"/>
    <w:rsid w:val="00B85299"/>
    <w:rsid w:val="00B877FB"/>
    <w:rsid w:val="00B90403"/>
    <w:rsid w:val="00B91614"/>
    <w:rsid w:val="00B91AE1"/>
    <w:rsid w:val="00B91B96"/>
    <w:rsid w:val="00B936B3"/>
    <w:rsid w:val="00B93F7B"/>
    <w:rsid w:val="00B945F0"/>
    <w:rsid w:val="00B962E6"/>
    <w:rsid w:val="00B9640E"/>
    <w:rsid w:val="00B96538"/>
    <w:rsid w:val="00B976E0"/>
    <w:rsid w:val="00BA183B"/>
    <w:rsid w:val="00BA1987"/>
    <w:rsid w:val="00BA4628"/>
    <w:rsid w:val="00BA4D61"/>
    <w:rsid w:val="00BA4FE2"/>
    <w:rsid w:val="00BA5968"/>
    <w:rsid w:val="00BA5F7B"/>
    <w:rsid w:val="00BA660B"/>
    <w:rsid w:val="00BA68F7"/>
    <w:rsid w:val="00BA6F70"/>
    <w:rsid w:val="00BA72FD"/>
    <w:rsid w:val="00BA79F4"/>
    <w:rsid w:val="00BB0297"/>
    <w:rsid w:val="00BB0305"/>
    <w:rsid w:val="00BB0A84"/>
    <w:rsid w:val="00BB2BEC"/>
    <w:rsid w:val="00BB4343"/>
    <w:rsid w:val="00BB79E9"/>
    <w:rsid w:val="00BC18D3"/>
    <w:rsid w:val="00BC191B"/>
    <w:rsid w:val="00BC3F5A"/>
    <w:rsid w:val="00BC458A"/>
    <w:rsid w:val="00BC4E79"/>
    <w:rsid w:val="00BC54E0"/>
    <w:rsid w:val="00BC74A9"/>
    <w:rsid w:val="00BC79E9"/>
    <w:rsid w:val="00BD0D58"/>
    <w:rsid w:val="00BD15BA"/>
    <w:rsid w:val="00BD37AE"/>
    <w:rsid w:val="00BD52DD"/>
    <w:rsid w:val="00BD5364"/>
    <w:rsid w:val="00BD55F1"/>
    <w:rsid w:val="00BD6456"/>
    <w:rsid w:val="00BD6ECB"/>
    <w:rsid w:val="00BD7708"/>
    <w:rsid w:val="00BE092B"/>
    <w:rsid w:val="00BE0E57"/>
    <w:rsid w:val="00BE1D46"/>
    <w:rsid w:val="00BE45C7"/>
    <w:rsid w:val="00BE4F2B"/>
    <w:rsid w:val="00BE6083"/>
    <w:rsid w:val="00BE6B8C"/>
    <w:rsid w:val="00BE6F36"/>
    <w:rsid w:val="00BE7A42"/>
    <w:rsid w:val="00BF03EB"/>
    <w:rsid w:val="00BF0AC7"/>
    <w:rsid w:val="00BF0DEF"/>
    <w:rsid w:val="00BF2CA9"/>
    <w:rsid w:val="00BF3C8D"/>
    <w:rsid w:val="00BF3CE9"/>
    <w:rsid w:val="00BF3E2B"/>
    <w:rsid w:val="00BF4A97"/>
    <w:rsid w:val="00BF4C59"/>
    <w:rsid w:val="00BF661F"/>
    <w:rsid w:val="00BF6808"/>
    <w:rsid w:val="00BF6DA7"/>
    <w:rsid w:val="00BF7061"/>
    <w:rsid w:val="00BF7D6D"/>
    <w:rsid w:val="00C01B9D"/>
    <w:rsid w:val="00C020A2"/>
    <w:rsid w:val="00C02C6E"/>
    <w:rsid w:val="00C04142"/>
    <w:rsid w:val="00C04258"/>
    <w:rsid w:val="00C044F1"/>
    <w:rsid w:val="00C102E7"/>
    <w:rsid w:val="00C114B5"/>
    <w:rsid w:val="00C12733"/>
    <w:rsid w:val="00C12BBD"/>
    <w:rsid w:val="00C134AC"/>
    <w:rsid w:val="00C15884"/>
    <w:rsid w:val="00C16F28"/>
    <w:rsid w:val="00C174FB"/>
    <w:rsid w:val="00C17ECD"/>
    <w:rsid w:val="00C20207"/>
    <w:rsid w:val="00C21408"/>
    <w:rsid w:val="00C225B4"/>
    <w:rsid w:val="00C22FC0"/>
    <w:rsid w:val="00C23750"/>
    <w:rsid w:val="00C23B2C"/>
    <w:rsid w:val="00C2662B"/>
    <w:rsid w:val="00C2680A"/>
    <w:rsid w:val="00C2771B"/>
    <w:rsid w:val="00C3167B"/>
    <w:rsid w:val="00C3599E"/>
    <w:rsid w:val="00C35BA1"/>
    <w:rsid w:val="00C424F3"/>
    <w:rsid w:val="00C510A8"/>
    <w:rsid w:val="00C517D8"/>
    <w:rsid w:val="00C521FA"/>
    <w:rsid w:val="00C53066"/>
    <w:rsid w:val="00C543EF"/>
    <w:rsid w:val="00C57E0D"/>
    <w:rsid w:val="00C57E63"/>
    <w:rsid w:val="00C61039"/>
    <w:rsid w:val="00C62596"/>
    <w:rsid w:val="00C635D7"/>
    <w:rsid w:val="00C635FB"/>
    <w:rsid w:val="00C63C66"/>
    <w:rsid w:val="00C65293"/>
    <w:rsid w:val="00C65FAB"/>
    <w:rsid w:val="00C66383"/>
    <w:rsid w:val="00C7010E"/>
    <w:rsid w:val="00C705CE"/>
    <w:rsid w:val="00C710DE"/>
    <w:rsid w:val="00C712B1"/>
    <w:rsid w:val="00C73939"/>
    <w:rsid w:val="00C73D05"/>
    <w:rsid w:val="00C74915"/>
    <w:rsid w:val="00C76E23"/>
    <w:rsid w:val="00C76F57"/>
    <w:rsid w:val="00C77A64"/>
    <w:rsid w:val="00C77EBF"/>
    <w:rsid w:val="00C82AF9"/>
    <w:rsid w:val="00C83CB4"/>
    <w:rsid w:val="00C84609"/>
    <w:rsid w:val="00C864DE"/>
    <w:rsid w:val="00C87727"/>
    <w:rsid w:val="00C8789E"/>
    <w:rsid w:val="00C90447"/>
    <w:rsid w:val="00C9670E"/>
    <w:rsid w:val="00C967C7"/>
    <w:rsid w:val="00C96A55"/>
    <w:rsid w:val="00CA082D"/>
    <w:rsid w:val="00CA4DBF"/>
    <w:rsid w:val="00CA5377"/>
    <w:rsid w:val="00CA5B05"/>
    <w:rsid w:val="00CA6E6D"/>
    <w:rsid w:val="00CB14AD"/>
    <w:rsid w:val="00CB3A1D"/>
    <w:rsid w:val="00CB3D59"/>
    <w:rsid w:val="00CB485E"/>
    <w:rsid w:val="00CB5DCD"/>
    <w:rsid w:val="00CB6923"/>
    <w:rsid w:val="00CB74D4"/>
    <w:rsid w:val="00CB7D65"/>
    <w:rsid w:val="00CB7E10"/>
    <w:rsid w:val="00CC2203"/>
    <w:rsid w:val="00CC254C"/>
    <w:rsid w:val="00CC2A79"/>
    <w:rsid w:val="00CC39E4"/>
    <w:rsid w:val="00CC3FA1"/>
    <w:rsid w:val="00CC4F7F"/>
    <w:rsid w:val="00CC539A"/>
    <w:rsid w:val="00CC546C"/>
    <w:rsid w:val="00CC5BBC"/>
    <w:rsid w:val="00CC6480"/>
    <w:rsid w:val="00CD0E59"/>
    <w:rsid w:val="00CD2FBC"/>
    <w:rsid w:val="00CD347F"/>
    <w:rsid w:val="00CD3753"/>
    <w:rsid w:val="00CD55EB"/>
    <w:rsid w:val="00CD67C6"/>
    <w:rsid w:val="00CD77D2"/>
    <w:rsid w:val="00CD7D7B"/>
    <w:rsid w:val="00CE15FA"/>
    <w:rsid w:val="00CE197E"/>
    <w:rsid w:val="00CE2584"/>
    <w:rsid w:val="00CE3610"/>
    <w:rsid w:val="00CE60E9"/>
    <w:rsid w:val="00CE67B2"/>
    <w:rsid w:val="00CE7704"/>
    <w:rsid w:val="00CF167F"/>
    <w:rsid w:val="00CF1D96"/>
    <w:rsid w:val="00CF25A4"/>
    <w:rsid w:val="00CF2803"/>
    <w:rsid w:val="00CF3E17"/>
    <w:rsid w:val="00CF4748"/>
    <w:rsid w:val="00CF61D6"/>
    <w:rsid w:val="00CF7FA8"/>
    <w:rsid w:val="00D01511"/>
    <w:rsid w:val="00D018F5"/>
    <w:rsid w:val="00D021F7"/>
    <w:rsid w:val="00D05A31"/>
    <w:rsid w:val="00D1371A"/>
    <w:rsid w:val="00D13A04"/>
    <w:rsid w:val="00D143E1"/>
    <w:rsid w:val="00D15090"/>
    <w:rsid w:val="00D17B13"/>
    <w:rsid w:val="00D213D6"/>
    <w:rsid w:val="00D22AD0"/>
    <w:rsid w:val="00D23875"/>
    <w:rsid w:val="00D23A42"/>
    <w:rsid w:val="00D306FF"/>
    <w:rsid w:val="00D32C71"/>
    <w:rsid w:val="00D347B3"/>
    <w:rsid w:val="00D35418"/>
    <w:rsid w:val="00D3541E"/>
    <w:rsid w:val="00D364D7"/>
    <w:rsid w:val="00D3770D"/>
    <w:rsid w:val="00D37CD3"/>
    <w:rsid w:val="00D42190"/>
    <w:rsid w:val="00D430B9"/>
    <w:rsid w:val="00D43987"/>
    <w:rsid w:val="00D442EE"/>
    <w:rsid w:val="00D45207"/>
    <w:rsid w:val="00D45D83"/>
    <w:rsid w:val="00D503F3"/>
    <w:rsid w:val="00D522C7"/>
    <w:rsid w:val="00D52960"/>
    <w:rsid w:val="00D546A6"/>
    <w:rsid w:val="00D55CC0"/>
    <w:rsid w:val="00D56A2B"/>
    <w:rsid w:val="00D60F20"/>
    <w:rsid w:val="00D637FE"/>
    <w:rsid w:val="00D63922"/>
    <w:rsid w:val="00D6401D"/>
    <w:rsid w:val="00D64C93"/>
    <w:rsid w:val="00D673FC"/>
    <w:rsid w:val="00D67D85"/>
    <w:rsid w:val="00D703BE"/>
    <w:rsid w:val="00D72978"/>
    <w:rsid w:val="00D733CC"/>
    <w:rsid w:val="00D739CA"/>
    <w:rsid w:val="00D75DD6"/>
    <w:rsid w:val="00D763DB"/>
    <w:rsid w:val="00D76411"/>
    <w:rsid w:val="00D77174"/>
    <w:rsid w:val="00D81142"/>
    <w:rsid w:val="00D8162C"/>
    <w:rsid w:val="00D859F2"/>
    <w:rsid w:val="00D85D06"/>
    <w:rsid w:val="00D861CE"/>
    <w:rsid w:val="00D90AAF"/>
    <w:rsid w:val="00D913A6"/>
    <w:rsid w:val="00D94EBF"/>
    <w:rsid w:val="00DA081D"/>
    <w:rsid w:val="00DA72B3"/>
    <w:rsid w:val="00DB19B1"/>
    <w:rsid w:val="00DB3027"/>
    <w:rsid w:val="00DB3240"/>
    <w:rsid w:val="00DB46A1"/>
    <w:rsid w:val="00DB48E2"/>
    <w:rsid w:val="00DB4FE6"/>
    <w:rsid w:val="00DC0360"/>
    <w:rsid w:val="00DC0A30"/>
    <w:rsid w:val="00DC63E7"/>
    <w:rsid w:val="00DC709D"/>
    <w:rsid w:val="00DC7C49"/>
    <w:rsid w:val="00DD3EDD"/>
    <w:rsid w:val="00DD44E2"/>
    <w:rsid w:val="00DD5503"/>
    <w:rsid w:val="00DD5540"/>
    <w:rsid w:val="00DD701D"/>
    <w:rsid w:val="00DE13B5"/>
    <w:rsid w:val="00DE1989"/>
    <w:rsid w:val="00DE2E0A"/>
    <w:rsid w:val="00DE2E5E"/>
    <w:rsid w:val="00DE2F0E"/>
    <w:rsid w:val="00DE2FC7"/>
    <w:rsid w:val="00DE36FF"/>
    <w:rsid w:val="00DE513E"/>
    <w:rsid w:val="00DE5803"/>
    <w:rsid w:val="00DE5E62"/>
    <w:rsid w:val="00DE5FE2"/>
    <w:rsid w:val="00DE696B"/>
    <w:rsid w:val="00DE6E10"/>
    <w:rsid w:val="00DF0C7E"/>
    <w:rsid w:val="00DF26BB"/>
    <w:rsid w:val="00DF29CC"/>
    <w:rsid w:val="00DF392F"/>
    <w:rsid w:val="00DF573C"/>
    <w:rsid w:val="00E00D54"/>
    <w:rsid w:val="00E01CCB"/>
    <w:rsid w:val="00E036C7"/>
    <w:rsid w:val="00E0388E"/>
    <w:rsid w:val="00E03A92"/>
    <w:rsid w:val="00E0458C"/>
    <w:rsid w:val="00E05BBF"/>
    <w:rsid w:val="00E12382"/>
    <w:rsid w:val="00E12937"/>
    <w:rsid w:val="00E13035"/>
    <w:rsid w:val="00E13BBC"/>
    <w:rsid w:val="00E15592"/>
    <w:rsid w:val="00E17034"/>
    <w:rsid w:val="00E174EE"/>
    <w:rsid w:val="00E20635"/>
    <w:rsid w:val="00E21488"/>
    <w:rsid w:val="00E215E4"/>
    <w:rsid w:val="00E23B21"/>
    <w:rsid w:val="00E240C3"/>
    <w:rsid w:val="00E25E1F"/>
    <w:rsid w:val="00E30B21"/>
    <w:rsid w:val="00E30C40"/>
    <w:rsid w:val="00E32344"/>
    <w:rsid w:val="00E350C4"/>
    <w:rsid w:val="00E35F2D"/>
    <w:rsid w:val="00E37EB1"/>
    <w:rsid w:val="00E40EE1"/>
    <w:rsid w:val="00E416B6"/>
    <w:rsid w:val="00E41C62"/>
    <w:rsid w:val="00E42147"/>
    <w:rsid w:val="00E426DA"/>
    <w:rsid w:val="00E44550"/>
    <w:rsid w:val="00E4482B"/>
    <w:rsid w:val="00E4519B"/>
    <w:rsid w:val="00E454B3"/>
    <w:rsid w:val="00E47060"/>
    <w:rsid w:val="00E508B4"/>
    <w:rsid w:val="00E513DC"/>
    <w:rsid w:val="00E531E0"/>
    <w:rsid w:val="00E54537"/>
    <w:rsid w:val="00E55004"/>
    <w:rsid w:val="00E55354"/>
    <w:rsid w:val="00E556C5"/>
    <w:rsid w:val="00E5596F"/>
    <w:rsid w:val="00E6019C"/>
    <w:rsid w:val="00E6061B"/>
    <w:rsid w:val="00E61A77"/>
    <w:rsid w:val="00E638FB"/>
    <w:rsid w:val="00E6506F"/>
    <w:rsid w:val="00E6567C"/>
    <w:rsid w:val="00E70374"/>
    <w:rsid w:val="00E7037A"/>
    <w:rsid w:val="00E70F88"/>
    <w:rsid w:val="00E72DC4"/>
    <w:rsid w:val="00E74D5D"/>
    <w:rsid w:val="00E75655"/>
    <w:rsid w:val="00E76219"/>
    <w:rsid w:val="00E763BE"/>
    <w:rsid w:val="00E8021E"/>
    <w:rsid w:val="00E8273F"/>
    <w:rsid w:val="00E83709"/>
    <w:rsid w:val="00E85AF2"/>
    <w:rsid w:val="00E902D4"/>
    <w:rsid w:val="00E90C53"/>
    <w:rsid w:val="00E948E1"/>
    <w:rsid w:val="00EA3CD5"/>
    <w:rsid w:val="00EA4068"/>
    <w:rsid w:val="00EA42F1"/>
    <w:rsid w:val="00EA54DD"/>
    <w:rsid w:val="00EA5984"/>
    <w:rsid w:val="00EA5A62"/>
    <w:rsid w:val="00EA719A"/>
    <w:rsid w:val="00EB0F88"/>
    <w:rsid w:val="00EB1147"/>
    <w:rsid w:val="00EB1262"/>
    <w:rsid w:val="00EB17B2"/>
    <w:rsid w:val="00EB4BD3"/>
    <w:rsid w:val="00EB7736"/>
    <w:rsid w:val="00EC08A9"/>
    <w:rsid w:val="00EC2843"/>
    <w:rsid w:val="00EC29B2"/>
    <w:rsid w:val="00EC5D45"/>
    <w:rsid w:val="00ED4A82"/>
    <w:rsid w:val="00ED5632"/>
    <w:rsid w:val="00ED6851"/>
    <w:rsid w:val="00ED7AF1"/>
    <w:rsid w:val="00EE1ACD"/>
    <w:rsid w:val="00EE405E"/>
    <w:rsid w:val="00EE4165"/>
    <w:rsid w:val="00EE649A"/>
    <w:rsid w:val="00EE6651"/>
    <w:rsid w:val="00EF02A0"/>
    <w:rsid w:val="00EF0482"/>
    <w:rsid w:val="00EF0A89"/>
    <w:rsid w:val="00EF12D5"/>
    <w:rsid w:val="00EF12FD"/>
    <w:rsid w:val="00EF3078"/>
    <w:rsid w:val="00EF33D4"/>
    <w:rsid w:val="00EF3CBD"/>
    <w:rsid w:val="00EF5B61"/>
    <w:rsid w:val="00F005B0"/>
    <w:rsid w:val="00F046F6"/>
    <w:rsid w:val="00F05A10"/>
    <w:rsid w:val="00F11AA3"/>
    <w:rsid w:val="00F15D79"/>
    <w:rsid w:val="00F165E6"/>
    <w:rsid w:val="00F238BD"/>
    <w:rsid w:val="00F244AB"/>
    <w:rsid w:val="00F2594E"/>
    <w:rsid w:val="00F2597D"/>
    <w:rsid w:val="00F25FAA"/>
    <w:rsid w:val="00F261DD"/>
    <w:rsid w:val="00F27843"/>
    <w:rsid w:val="00F3174B"/>
    <w:rsid w:val="00F322CE"/>
    <w:rsid w:val="00F33115"/>
    <w:rsid w:val="00F33967"/>
    <w:rsid w:val="00F3495B"/>
    <w:rsid w:val="00F36334"/>
    <w:rsid w:val="00F40042"/>
    <w:rsid w:val="00F40E21"/>
    <w:rsid w:val="00F43B9D"/>
    <w:rsid w:val="00F44493"/>
    <w:rsid w:val="00F46382"/>
    <w:rsid w:val="00F47BDB"/>
    <w:rsid w:val="00F54CD0"/>
    <w:rsid w:val="00F5790D"/>
    <w:rsid w:val="00F6370D"/>
    <w:rsid w:val="00F655B8"/>
    <w:rsid w:val="00F66082"/>
    <w:rsid w:val="00F6717A"/>
    <w:rsid w:val="00F67941"/>
    <w:rsid w:val="00F72A15"/>
    <w:rsid w:val="00F73068"/>
    <w:rsid w:val="00F7411A"/>
    <w:rsid w:val="00F74396"/>
    <w:rsid w:val="00F7440A"/>
    <w:rsid w:val="00F74EFF"/>
    <w:rsid w:val="00F776D9"/>
    <w:rsid w:val="00F80CDF"/>
    <w:rsid w:val="00F84A56"/>
    <w:rsid w:val="00F87020"/>
    <w:rsid w:val="00F902B6"/>
    <w:rsid w:val="00F9232E"/>
    <w:rsid w:val="00F92605"/>
    <w:rsid w:val="00F9273E"/>
    <w:rsid w:val="00F92D71"/>
    <w:rsid w:val="00F9409D"/>
    <w:rsid w:val="00FA1920"/>
    <w:rsid w:val="00FA2CD7"/>
    <w:rsid w:val="00FA69BF"/>
    <w:rsid w:val="00FA7C85"/>
    <w:rsid w:val="00FB1688"/>
    <w:rsid w:val="00FB24BC"/>
    <w:rsid w:val="00FB275E"/>
    <w:rsid w:val="00FB3B5B"/>
    <w:rsid w:val="00FB3FB8"/>
    <w:rsid w:val="00FB4657"/>
    <w:rsid w:val="00FB7044"/>
    <w:rsid w:val="00FC090E"/>
    <w:rsid w:val="00FC0936"/>
    <w:rsid w:val="00FC0D84"/>
    <w:rsid w:val="00FC28D0"/>
    <w:rsid w:val="00FC2C59"/>
    <w:rsid w:val="00FC2CE9"/>
    <w:rsid w:val="00FC39B1"/>
    <w:rsid w:val="00FC5B6C"/>
    <w:rsid w:val="00FC65D4"/>
    <w:rsid w:val="00FC6AF9"/>
    <w:rsid w:val="00FC788A"/>
    <w:rsid w:val="00FD081C"/>
    <w:rsid w:val="00FD2027"/>
    <w:rsid w:val="00FD2EB3"/>
    <w:rsid w:val="00FD663E"/>
    <w:rsid w:val="00FD6A4D"/>
    <w:rsid w:val="00FD7084"/>
    <w:rsid w:val="00FE0193"/>
    <w:rsid w:val="00FE18D5"/>
    <w:rsid w:val="00FE36C8"/>
    <w:rsid w:val="00FE5C64"/>
    <w:rsid w:val="00FE67CF"/>
    <w:rsid w:val="00FF066D"/>
    <w:rsid w:val="00FF0687"/>
    <w:rsid w:val="00FF08F5"/>
    <w:rsid w:val="00FF0A06"/>
    <w:rsid w:val="00FF1107"/>
    <w:rsid w:val="00FF20B4"/>
    <w:rsid w:val="00FF2BD0"/>
    <w:rsid w:val="00FF2F31"/>
    <w:rsid w:val="00FF2F87"/>
    <w:rsid w:val="00FF337A"/>
    <w:rsid w:val="00FF3703"/>
    <w:rsid w:val="00FF4385"/>
    <w:rsid w:val="00FF501D"/>
    <w:rsid w:val="00FF5D58"/>
    <w:rsid w:val="00FF6B4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81032"/>
  <w15:docId w15:val="{10B3BEB5-8BD9-4652-8F76-3368D84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860"/>
    <w:pPr>
      <w:spacing w:after="200" w:line="276" w:lineRule="auto"/>
    </w:pPr>
    <w:rPr>
      <w:rFonts w:ascii="Arial" w:eastAsia="Times New Roman" w:hAnsi="Arial" w:cs="Calibri"/>
      <w:sz w:val="24"/>
      <w:szCs w:val="20"/>
      <w:lang w:eastAsia="pl-PL"/>
    </w:rPr>
  </w:style>
  <w:style w:type="paragraph" w:styleId="Nagwek1">
    <w:name w:val="heading 1"/>
    <w:basedOn w:val="Normalny"/>
    <w:next w:val="Normalny"/>
    <w:link w:val="Nagwek1Znak"/>
    <w:autoRedefine/>
    <w:uiPriority w:val="9"/>
    <w:qFormat/>
    <w:rsid w:val="00802AFA"/>
    <w:pPr>
      <w:keepNext/>
      <w:numPr>
        <w:numId w:val="17"/>
      </w:numPr>
      <w:tabs>
        <w:tab w:val="left" w:pos="426"/>
      </w:tabs>
      <w:spacing w:after="0" w:line="360" w:lineRule="auto"/>
      <w:ind w:left="284" w:hanging="284"/>
      <w:outlineLvl w:val="0"/>
    </w:pPr>
    <w:rPr>
      <w:rFonts w:cs="Times New Roman"/>
      <w:b/>
      <w:bCs/>
      <w:kern w:val="32"/>
      <w:sz w:val="28"/>
      <w:szCs w:val="32"/>
    </w:rPr>
  </w:style>
  <w:style w:type="paragraph" w:styleId="Nagwek2">
    <w:name w:val="heading 2"/>
    <w:basedOn w:val="Normalny"/>
    <w:next w:val="Normalny"/>
    <w:link w:val="Nagwek2Znak"/>
    <w:autoRedefine/>
    <w:uiPriority w:val="9"/>
    <w:unhideWhenUsed/>
    <w:qFormat/>
    <w:rsid w:val="00B11CBB"/>
    <w:pPr>
      <w:keepNext/>
      <w:tabs>
        <w:tab w:val="left" w:pos="425"/>
      </w:tabs>
      <w:spacing w:before="360" w:after="240" w:line="360" w:lineRule="auto"/>
      <w:outlineLvl w:val="1"/>
    </w:pPr>
    <w:rPr>
      <w:rFonts w:cs="Arial"/>
      <w:b/>
      <w:bCs/>
      <w:iCs/>
      <w:szCs w:val="36"/>
    </w:rPr>
  </w:style>
  <w:style w:type="paragraph" w:styleId="Nagwek3">
    <w:name w:val="heading 3"/>
    <w:basedOn w:val="Normalny"/>
    <w:next w:val="Normalny"/>
    <w:link w:val="Nagwek3Znak"/>
    <w:uiPriority w:val="9"/>
    <w:qFormat/>
    <w:rsid w:val="00A43860"/>
    <w:pPr>
      <w:keepNext/>
      <w:spacing w:before="360" w:after="240" w:line="360" w:lineRule="auto"/>
      <w:ind w:firstLine="567"/>
      <w:jc w:val="both"/>
      <w:outlineLvl w:val="2"/>
    </w:pPr>
    <w:rPr>
      <w:rFonts w:cs="Times New Roman"/>
      <w:b/>
      <w:bCs/>
      <w:sz w:val="22"/>
      <w:szCs w:val="26"/>
    </w:rPr>
  </w:style>
  <w:style w:type="paragraph" w:styleId="Nagwek4">
    <w:name w:val="heading 4"/>
    <w:basedOn w:val="Normalny"/>
    <w:link w:val="Nagwek4Znak"/>
    <w:uiPriority w:val="9"/>
    <w:qFormat/>
    <w:rsid w:val="006B262B"/>
    <w:pPr>
      <w:spacing w:before="100" w:beforeAutospacing="1" w:after="100" w:afterAutospacing="1" w:line="240" w:lineRule="auto"/>
      <w:outlineLvl w:val="3"/>
    </w:pPr>
    <w:rPr>
      <w:rFonts w:ascii="Times New Roman" w:hAnsi="Times New Roman" w:cs="Times New Roman"/>
      <w:b/>
      <w:bCs/>
      <w:szCs w:val="24"/>
    </w:rPr>
  </w:style>
  <w:style w:type="paragraph" w:styleId="Nagwek5">
    <w:name w:val="heading 5"/>
    <w:basedOn w:val="Normalny"/>
    <w:next w:val="Normalny"/>
    <w:link w:val="Nagwek5Znak"/>
    <w:uiPriority w:val="9"/>
    <w:unhideWhenUsed/>
    <w:qFormat/>
    <w:rsid w:val="006B262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76F57"/>
    <w:pPr>
      <w:keepNext/>
      <w:keepLines/>
      <w:spacing w:before="80" w:after="0" w:line="288" w:lineRule="auto"/>
      <w:jc w:val="both"/>
      <w:outlineLvl w:val="5"/>
    </w:pPr>
    <w:rPr>
      <w:rFonts w:ascii="Symbol" w:eastAsia="TimesNewRoman,Bold" w:hAnsi="Symbol" w:cs="Times New Roman"/>
      <w:color w:val="595959"/>
    </w:rPr>
  </w:style>
  <w:style w:type="paragraph" w:styleId="Nagwek7">
    <w:name w:val="heading 7"/>
    <w:basedOn w:val="Normalny"/>
    <w:next w:val="Normalny"/>
    <w:link w:val="Nagwek7Znak"/>
    <w:uiPriority w:val="9"/>
    <w:semiHidden/>
    <w:unhideWhenUsed/>
    <w:qFormat/>
    <w:rsid w:val="00C76F57"/>
    <w:pPr>
      <w:keepNext/>
      <w:keepLines/>
      <w:spacing w:before="80" w:after="0" w:line="288" w:lineRule="auto"/>
      <w:jc w:val="both"/>
      <w:outlineLvl w:val="6"/>
    </w:pPr>
    <w:rPr>
      <w:rFonts w:ascii="Symbol" w:eastAsia="TimesNewRoman,Bold" w:hAnsi="Symbol" w:cs="Times New Roman"/>
      <w:i/>
      <w:iCs/>
      <w:color w:val="595959"/>
    </w:rPr>
  </w:style>
  <w:style w:type="paragraph" w:styleId="Nagwek8">
    <w:name w:val="heading 8"/>
    <w:basedOn w:val="Normalny"/>
    <w:next w:val="Normalny"/>
    <w:link w:val="Nagwek8Znak"/>
    <w:uiPriority w:val="9"/>
    <w:semiHidden/>
    <w:unhideWhenUsed/>
    <w:qFormat/>
    <w:rsid w:val="00C76F57"/>
    <w:pPr>
      <w:keepNext/>
      <w:keepLines/>
      <w:spacing w:before="80" w:after="0" w:line="288" w:lineRule="auto"/>
      <w:jc w:val="both"/>
      <w:outlineLvl w:val="7"/>
    </w:pPr>
    <w:rPr>
      <w:rFonts w:ascii="Symbol" w:eastAsia="TimesNewRoman,Bold" w:hAnsi="Symbol" w:cs="Times New Roman"/>
      <w:smallCaps/>
      <w:color w:val="595959"/>
    </w:rPr>
  </w:style>
  <w:style w:type="paragraph" w:styleId="Nagwek9">
    <w:name w:val="heading 9"/>
    <w:basedOn w:val="Normalny"/>
    <w:next w:val="Normalny"/>
    <w:link w:val="Nagwek9Znak"/>
    <w:uiPriority w:val="9"/>
    <w:semiHidden/>
    <w:unhideWhenUsed/>
    <w:qFormat/>
    <w:rsid w:val="00C76F57"/>
    <w:pPr>
      <w:keepNext/>
      <w:keepLines/>
      <w:spacing w:before="80" w:after="0" w:line="288" w:lineRule="auto"/>
      <w:jc w:val="both"/>
      <w:outlineLvl w:val="8"/>
    </w:pPr>
    <w:rPr>
      <w:rFonts w:ascii="Symbol" w:eastAsia="TimesNewRoman,Bold" w:hAnsi="Symbol" w:cs="Times New Roman"/>
      <w:i/>
      <w:iCs/>
      <w:smallCaps/>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2AFA"/>
    <w:rPr>
      <w:rFonts w:ascii="Arial" w:eastAsia="Times New Roman" w:hAnsi="Arial" w:cs="Times New Roman"/>
      <w:b/>
      <w:bCs/>
      <w:kern w:val="32"/>
      <w:sz w:val="28"/>
      <w:szCs w:val="32"/>
      <w:lang w:eastAsia="pl-PL"/>
    </w:rPr>
  </w:style>
  <w:style w:type="character" w:customStyle="1" w:styleId="Nagwek2Znak">
    <w:name w:val="Nagłówek 2 Znak"/>
    <w:basedOn w:val="Domylnaczcionkaakapitu"/>
    <w:link w:val="Nagwek2"/>
    <w:uiPriority w:val="9"/>
    <w:rsid w:val="00B11CBB"/>
    <w:rPr>
      <w:rFonts w:ascii="Arial" w:eastAsia="Times New Roman" w:hAnsi="Arial" w:cs="Arial"/>
      <w:b/>
      <w:bCs/>
      <w:iCs/>
      <w:sz w:val="24"/>
      <w:szCs w:val="36"/>
      <w:lang w:eastAsia="pl-PL"/>
    </w:rPr>
  </w:style>
  <w:style w:type="character" w:customStyle="1" w:styleId="Nagwek3Znak">
    <w:name w:val="Nagłówek 3 Znak"/>
    <w:basedOn w:val="Domylnaczcionkaakapitu"/>
    <w:link w:val="Nagwek3"/>
    <w:uiPriority w:val="9"/>
    <w:rsid w:val="00A43860"/>
    <w:rPr>
      <w:rFonts w:ascii="Arial" w:eastAsia="Times New Roman" w:hAnsi="Arial" w:cs="Times New Roman"/>
      <w:b/>
      <w:bCs/>
      <w:szCs w:val="26"/>
      <w:lang w:eastAsia="pl-PL"/>
    </w:rPr>
  </w:style>
  <w:style w:type="character" w:customStyle="1" w:styleId="Nagwek4Znak">
    <w:name w:val="Nagłówek 4 Znak"/>
    <w:basedOn w:val="Domylnaczcionkaakapitu"/>
    <w:link w:val="Nagwek4"/>
    <w:uiPriority w:val="9"/>
    <w:rsid w:val="006B262B"/>
    <w:rPr>
      <w:rFonts w:ascii="Times New Roman" w:eastAsia="Times New Roman" w:hAnsi="Times New Roman" w:cs="Times New Roman"/>
      <w:b/>
      <w:bCs/>
      <w:sz w:val="24"/>
      <w:szCs w:val="24"/>
    </w:rPr>
  </w:style>
  <w:style w:type="character" w:customStyle="1" w:styleId="Nagwek5Znak">
    <w:name w:val="Nagłówek 5 Znak"/>
    <w:basedOn w:val="Domylnaczcionkaakapitu"/>
    <w:link w:val="Nagwek5"/>
    <w:uiPriority w:val="9"/>
    <w:rsid w:val="006B262B"/>
    <w:rPr>
      <w:rFonts w:asciiTheme="majorHAnsi" w:eastAsiaTheme="majorEastAsia" w:hAnsiTheme="majorHAnsi" w:cstheme="majorBidi"/>
      <w:color w:val="2F5496" w:themeColor="accent1" w:themeShade="BF"/>
      <w:sz w:val="20"/>
      <w:szCs w:val="20"/>
      <w:lang w:eastAsia="pl-PL"/>
    </w:rPr>
  </w:style>
  <w:style w:type="paragraph" w:styleId="Tekstprzypisukocowego">
    <w:name w:val="endnote text"/>
    <w:basedOn w:val="Normalny"/>
    <w:link w:val="TekstprzypisukocowegoZnak"/>
    <w:uiPriority w:val="99"/>
    <w:semiHidden/>
    <w:rsid w:val="006B262B"/>
    <w:pPr>
      <w:spacing w:after="0" w:line="240" w:lineRule="auto"/>
    </w:pPr>
    <w:rPr>
      <w:rFonts w:cs="Times New Roman"/>
    </w:rPr>
  </w:style>
  <w:style w:type="character" w:customStyle="1" w:styleId="TekstprzypisukocowegoZnak">
    <w:name w:val="Tekst przypisu końcowego Znak"/>
    <w:basedOn w:val="Domylnaczcionkaakapitu"/>
    <w:link w:val="Tekstprzypisukocowego"/>
    <w:uiPriority w:val="99"/>
    <w:semiHidden/>
    <w:rsid w:val="006B262B"/>
    <w:rPr>
      <w:rFonts w:ascii="Calibri" w:eastAsia="Times New Roman" w:hAnsi="Calibri" w:cs="Times New Roman"/>
      <w:sz w:val="20"/>
      <w:szCs w:val="20"/>
    </w:rPr>
  </w:style>
  <w:style w:type="character" w:styleId="Odwoanieprzypisukocowego">
    <w:name w:val="endnote reference"/>
    <w:uiPriority w:val="99"/>
    <w:semiHidden/>
    <w:rsid w:val="006B262B"/>
    <w:rPr>
      <w:vertAlign w:val="superscript"/>
    </w:rPr>
  </w:style>
  <w:style w:type="character" w:styleId="Odwoaniedokomentarza">
    <w:name w:val="annotation reference"/>
    <w:uiPriority w:val="99"/>
    <w:semiHidden/>
    <w:rsid w:val="006B262B"/>
    <w:rPr>
      <w:sz w:val="16"/>
      <w:szCs w:val="16"/>
    </w:rPr>
  </w:style>
  <w:style w:type="paragraph" w:styleId="Tekstkomentarza">
    <w:name w:val="annotation text"/>
    <w:basedOn w:val="Normalny"/>
    <w:link w:val="TekstkomentarzaZnak"/>
    <w:uiPriority w:val="99"/>
    <w:rsid w:val="006B262B"/>
    <w:pPr>
      <w:spacing w:line="240" w:lineRule="auto"/>
    </w:pPr>
    <w:rPr>
      <w:rFonts w:cs="Times New Roman"/>
    </w:rPr>
  </w:style>
  <w:style w:type="character" w:customStyle="1" w:styleId="TekstkomentarzaZnak">
    <w:name w:val="Tekst komentarza Znak"/>
    <w:basedOn w:val="Domylnaczcionkaakapitu"/>
    <w:link w:val="Tekstkomentarza"/>
    <w:uiPriority w:val="99"/>
    <w:rsid w:val="006B262B"/>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6B262B"/>
    <w:rPr>
      <w:b/>
      <w:bCs/>
    </w:rPr>
  </w:style>
  <w:style w:type="character" w:customStyle="1" w:styleId="TematkomentarzaZnak">
    <w:name w:val="Temat komentarza Znak"/>
    <w:basedOn w:val="TekstkomentarzaZnak"/>
    <w:link w:val="Tematkomentarza"/>
    <w:uiPriority w:val="99"/>
    <w:semiHidden/>
    <w:rsid w:val="006B262B"/>
    <w:rPr>
      <w:rFonts w:ascii="Calibri" w:eastAsia="Times New Roman" w:hAnsi="Calibri" w:cs="Times New Roman"/>
      <w:b/>
      <w:bCs/>
      <w:sz w:val="20"/>
      <w:szCs w:val="20"/>
    </w:rPr>
  </w:style>
  <w:style w:type="paragraph" w:styleId="Tekstdymka">
    <w:name w:val="Balloon Text"/>
    <w:basedOn w:val="Normalny"/>
    <w:link w:val="TekstdymkaZnak"/>
    <w:uiPriority w:val="99"/>
    <w:semiHidden/>
    <w:rsid w:val="006B262B"/>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6B262B"/>
    <w:rPr>
      <w:rFonts w:ascii="Tahoma" w:eastAsia="Times New Roman" w:hAnsi="Tahoma" w:cs="Times New Roman"/>
      <w:sz w:val="16"/>
      <w:szCs w:val="16"/>
    </w:rPr>
  </w:style>
  <w:style w:type="paragraph" w:styleId="Tekstprzypisudolnego">
    <w:name w:val="footnote text"/>
    <w:aliases w:val="Podrozdział,Footnote,Podrozdzia3"/>
    <w:basedOn w:val="Normalny"/>
    <w:link w:val="TekstprzypisudolnegoZnak"/>
    <w:uiPriority w:val="99"/>
    <w:rsid w:val="006B262B"/>
    <w:pPr>
      <w:spacing w:after="0" w:line="240" w:lineRule="auto"/>
    </w:pPr>
    <w:rPr>
      <w:rFonts w:cs="Times New Roman"/>
    </w:rPr>
  </w:style>
  <w:style w:type="character" w:customStyle="1" w:styleId="TekstprzypisudolnegoZnak">
    <w:name w:val="Tekst przypisu dolnego Znak"/>
    <w:aliases w:val="Podrozdział Znak,Footnote Znak,Podrozdzia3 Znak"/>
    <w:basedOn w:val="Domylnaczcionkaakapitu"/>
    <w:link w:val="Tekstprzypisudolnego"/>
    <w:uiPriority w:val="99"/>
    <w:rsid w:val="006B262B"/>
    <w:rPr>
      <w:rFonts w:ascii="Calibri" w:eastAsia="Times New Roman" w:hAnsi="Calibri" w:cs="Times New Roman"/>
      <w:sz w:val="20"/>
      <w:szCs w:val="20"/>
    </w:rPr>
  </w:style>
  <w:style w:type="character" w:styleId="Odwoanieprzypisudolnego">
    <w:name w:val="footnote reference"/>
    <w:uiPriority w:val="99"/>
    <w:rsid w:val="006B262B"/>
    <w:rPr>
      <w:vertAlign w:val="superscript"/>
    </w:rPr>
  </w:style>
  <w:style w:type="character" w:styleId="Hipercze">
    <w:name w:val="Hyperlink"/>
    <w:uiPriority w:val="99"/>
    <w:rsid w:val="006B262B"/>
    <w:rPr>
      <w:color w:val="0000FF"/>
      <w:u w:val="single"/>
    </w:rPr>
  </w:style>
  <w:style w:type="paragraph" w:styleId="Akapitzlist">
    <w:name w:val="List Paragraph"/>
    <w:basedOn w:val="Normalny"/>
    <w:link w:val="AkapitzlistZnak"/>
    <w:uiPriority w:val="34"/>
    <w:qFormat/>
    <w:rsid w:val="006B262B"/>
    <w:pPr>
      <w:ind w:left="720"/>
    </w:pPr>
  </w:style>
  <w:style w:type="table" w:styleId="Tabela-Siatka">
    <w:name w:val="Table Grid"/>
    <w:basedOn w:val="Standardowy"/>
    <w:uiPriority w:val="39"/>
    <w:rsid w:val="006B262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6B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262B"/>
    <w:rPr>
      <w:rFonts w:ascii="Calibri" w:eastAsia="Times New Roman" w:hAnsi="Calibri" w:cs="Calibri"/>
      <w:sz w:val="20"/>
      <w:szCs w:val="20"/>
      <w:lang w:eastAsia="pl-PL"/>
    </w:rPr>
  </w:style>
  <w:style w:type="paragraph" w:styleId="Stopka">
    <w:name w:val="footer"/>
    <w:basedOn w:val="Normalny"/>
    <w:link w:val="StopkaZnak"/>
    <w:uiPriority w:val="99"/>
    <w:rsid w:val="006B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262B"/>
    <w:rPr>
      <w:rFonts w:ascii="Calibri" w:eastAsia="Times New Roman" w:hAnsi="Calibri" w:cs="Calibri"/>
      <w:sz w:val="20"/>
      <w:szCs w:val="20"/>
      <w:lang w:eastAsia="pl-PL"/>
    </w:rPr>
  </w:style>
  <w:style w:type="table" w:customStyle="1" w:styleId="Tabela-Siatka1">
    <w:name w:val="Tabela - Siatka1"/>
    <w:uiPriority w:val="59"/>
    <w:rsid w:val="006B262B"/>
    <w:pPr>
      <w:spacing w:after="0" w:line="240" w:lineRule="auto"/>
    </w:pPr>
    <w:rPr>
      <w:rFonts w:ascii="Calibri" w:eastAsia="Times New Roman" w:hAnsi="Calibri" w:cs="Calibri"/>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nyWeb">
    <w:name w:val="Normal (Web)"/>
    <w:basedOn w:val="Normalny"/>
    <w:uiPriority w:val="99"/>
    <w:rsid w:val="006B262B"/>
    <w:pPr>
      <w:spacing w:before="100" w:beforeAutospacing="1" w:after="100" w:afterAutospacing="1" w:line="240" w:lineRule="auto"/>
    </w:pPr>
    <w:rPr>
      <w:szCs w:val="24"/>
    </w:rPr>
  </w:style>
  <w:style w:type="paragraph" w:styleId="Tekstpodstawowy">
    <w:name w:val="Body Text"/>
    <w:basedOn w:val="Normalny"/>
    <w:link w:val="TekstpodstawowyZnak"/>
    <w:uiPriority w:val="99"/>
    <w:rsid w:val="006B262B"/>
    <w:pPr>
      <w:spacing w:after="120" w:line="240" w:lineRule="auto"/>
    </w:pPr>
    <w:rPr>
      <w:rFonts w:ascii="Times New Roman" w:hAnsi="Times New Roman" w:cs="Times New Roman"/>
      <w:szCs w:val="24"/>
    </w:rPr>
  </w:style>
  <w:style w:type="character" w:customStyle="1" w:styleId="TekstpodstawowyZnak">
    <w:name w:val="Tekst podstawowy Znak"/>
    <w:basedOn w:val="Domylnaczcionkaakapitu"/>
    <w:link w:val="Tekstpodstawowy"/>
    <w:uiPriority w:val="99"/>
    <w:rsid w:val="006B262B"/>
    <w:rPr>
      <w:rFonts w:ascii="Times New Roman" w:eastAsia="Times New Roman" w:hAnsi="Times New Roman" w:cs="Times New Roman"/>
      <w:sz w:val="24"/>
      <w:szCs w:val="24"/>
    </w:rPr>
  </w:style>
  <w:style w:type="table" w:customStyle="1" w:styleId="Tabela-Siatka3">
    <w:name w:val="Tabela - Siatka3"/>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4">
    <w:name w:val="Tabela - Siatka4"/>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B262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zlistZnak">
    <w:name w:val="Akapit z listą Znak"/>
    <w:link w:val="Akapitzlist"/>
    <w:uiPriority w:val="34"/>
    <w:locked/>
    <w:rsid w:val="006B262B"/>
    <w:rPr>
      <w:rFonts w:ascii="Calibri" w:eastAsia="Times New Roman" w:hAnsi="Calibri" w:cs="Calibri"/>
      <w:sz w:val="20"/>
      <w:szCs w:val="20"/>
      <w:lang w:eastAsia="pl-PL"/>
    </w:rPr>
  </w:style>
  <w:style w:type="paragraph" w:customStyle="1" w:styleId="Odpowied">
    <w:name w:val="Odpowiedź"/>
    <w:basedOn w:val="Normalny"/>
    <w:uiPriority w:val="99"/>
    <w:rsid w:val="006B262B"/>
    <w:pPr>
      <w:numPr>
        <w:numId w:val="3"/>
      </w:numPr>
      <w:suppressAutoHyphens/>
      <w:spacing w:before="120" w:after="0" w:line="240" w:lineRule="auto"/>
    </w:pPr>
    <w:rPr>
      <w:rFonts w:cs="Arial"/>
      <w:lang w:eastAsia="zh-CN"/>
    </w:rPr>
  </w:style>
  <w:style w:type="paragraph" w:styleId="Tekstpodstawowywcity2">
    <w:name w:val="Body Text Indent 2"/>
    <w:basedOn w:val="Normalny"/>
    <w:link w:val="Tekstpodstawowywcity2Znak"/>
    <w:uiPriority w:val="99"/>
    <w:semiHidden/>
    <w:rsid w:val="006B26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B262B"/>
    <w:rPr>
      <w:rFonts w:ascii="Calibri" w:eastAsia="Times New Roman" w:hAnsi="Calibri" w:cs="Calibri"/>
      <w:sz w:val="20"/>
      <w:szCs w:val="20"/>
      <w:lang w:eastAsia="pl-PL"/>
    </w:rPr>
  </w:style>
  <w:style w:type="paragraph" w:styleId="Legenda">
    <w:name w:val="caption"/>
    <w:basedOn w:val="Normalny"/>
    <w:next w:val="Normalny"/>
    <w:uiPriority w:val="35"/>
    <w:qFormat/>
    <w:rsid w:val="006B262B"/>
    <w:rPr>
      <w:b/>
      <w:bCs/>
    </w:rPr>
  </w:style>
  <w:style w:type="paragraph" w:styleId="Spisilustracji">
    <w:name w:val="table of figures"/>
    <w:basedOn w:val="Normalny"/>
    <w:next w:val="Normalny"/>
    <w:autoRedefine/>
    <w:uiPriority w:val="99"/>
    <w:rsid w:val="00B7795E"/>
    <w:pPr>
      <w:tabs>
        <w:tab w:val="left" w:pos="709"/>
        <w:tab w:val="left" w:pos="851"/>
        <w:tab w:val="right" w:leader="dot" w:pos="9205"/>
      </w:tabs>
      <w:spacing w:before="120" w:after="120" w:line="360" w:lineRule="auto"/>
      <w:ind w:left="-426"/>
    </w:pPr>
    <w:rPr>
      <w:rFonts w:cs="Arial"/>
      <w:b/>
      <w:noProof/>
      <w:sz w:val="22"/>
    </w:rPr>
  </w:style>
  <w:style w:type="paragraph" w:styleId="Nagwekspisutreci">
    <w:name w:val="TOC Heading"/>
    <w:basedOn w:val="Nagwek1"/>
    <w:next w:val="Normalny"/>
    <w:uiPriority w:val="39"/>
    <w:qFormat/>
    <w:rsid w:val="006B262B"/>
    <w:pPr>
      <w:keepLines/>
      <w:spacing w:before="480"/>
      <w:outlineLvl w:val="9"/>
    </w:pPr>
    <w:rPr>
      <w:color w:val="365F91"/>
      <w:kern w:val="0"/>
      <w:szCs w:val="28"/>
      <w:lang w:eastAsia="en-US"/>
    </w:rPr>
  </w:style>
  <w:style w:type="paragraph" w:styleId="Spistreci2">
    <w:name w:val="toc 2"/>
    <w:basedOn w:val="Normalny"/>
    <w:next w:val="Normalny"/>
    <w:autoRedefine/>
    <w:uiPriority w:val="39"/>
    <w:rsid w:val="00CC2A79"/>
    <w:pPr>
      <w:tabs>
        <w:tab w:val="left" w:pos="800"/>
        <w:tab w:val="right" w:leader="dot" w:pos="9072"/>
      </w:tabs>
      <w:spacing w:after="0"/>
      <w:ind w:left="709" w:hanging="509"/>
    </w:pPr>
    <w:rPr>
      <w:rFonts w:asciiTheme="minorHAnsi" w:hAnsiTheme="minorHAnsi"/>
      <w:b/>
      <w:bCs/>
      <w:smallCaps/>
      <w:noProof/>
    </w:rPr>
  </w:style>
  <w:style w:type="paragraph" w:styleId="Spistreci1">
    <w:name w:val="toc 1"/>
    <w:basedOn w:val="Normalny"/>
    <w:next w:val="Normalny"/>
    <w:autoRedefine/>
    <w:uiPriority w:val="39"/>
    <w:rsid w:val="006B262B"/>
    <w:pPr>
      <w:tabs>
        <w:tab w:val="left" w:pos="426"/>
        <w:tab w:val="left" w:pos="600"/>
        <w:tab w:val="right" w:leader="dot" w:pos="9060"/>
      </w:tabs>
      <w:spacing w:before="120" w:after="120" w:line="360" w:lineRule="auto"/>
      <w:ind w:left="284" w:right="143" w:hanging="284"/>
    </w:pPr>
    <w:rPr>
      <w:rFonts w:asciiTheme="minorHAnsi" w:hAnsiTheme="minorHAnsi"/>
      <w:b/>
      <w:bCs/>
      <w:caps/>
    </w:rPr>
  </w:style>
  <w:style w:type="paragraph" w:styleId="Spistreci3">
    <w:name w:val="toc 3"/>
    <w:basedOn w:val="Normalny"/>
    <w:next w:val="Normalny"/>
    <w:autoRedefine/>
    <w:uiPriority w:val="39"/>
    <w:rsid w:val="00586554"/>
    <w:pPr>
      <w:tabs>
        <w:tab w:val="left" w:pos="1000"/>
        <w:tab w:val="right" w:leader="dot" w:pos="9072"/>
      </w:tabs>
      <w:spacing w:after="0"/>
      <w:ind w:left="400"/>
    </w:pPr>
    <w:rPr>
      <w:rFonts w:asciiTheme="minorHAnsi" w:hAnsiTheme="minorHAnsi"/>
      <w:i/>
      <w:iCs/>
    </w:rPr>
  </w:style>
  <w:style w:type="paragraph" w:styleId="HTML-wstpniesformatowany">
    <w:name w:val="HTML Preformatted"/>
    <w:basedOn w:val="Normalny"/>
    <w:link w:val="HTML-wstpniesformatowanyZnak"/>
    <w:uiPriority w:val="99"/>
    <w:unhideWhenUsed/>
    <w:rsid w:val="006B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rPr>
  </w:style>
  <w:style w:type="character" w:customStyle="1" w:styleId="HTML-wstpniesformatowanyZnak">
    <w:name w:val="HTML - wstępnie sformatowany Znak"/>
    <w:basedOn w:val="Domylnaczcionkaakapitu"/>
    <w:link w:val="HTML-wstpniesformatowany"/>
    <w:uiPriority w:val="99"/>
    <w:rsid w:val="006B262B"/>
    <w:rPr>
      <w:rFonts w:ascii="Courier New" w:eastAsia="Times New Roman" w:hAnsi="Courier New" w:cs="Times New Roman"/>
      <w:sz w:val="20"/>
      <w:szCs w:val="20"/>
    </w:rPr>
  </w:style>
  <w:style w:type="paragraph" w:styleId="Mapadokumentu">
    <w:name w:val="Document Map"/>
    <w:basedOn w:val="Normalny"/>
    <w:link w:val="MapadokumentuZnak1"/>
    <w:uiPriority w:val="99"/>
    <w:semiHidden/>
    <w:unhideWhenUsed/>
    <w:rsid w:val="006B262B"/>
    <w:rPr>
      <w:rFonts w:ascii="Tahoma" w:hAnsi="Tahoma" w:cs="Times New Roman"/>
      <w:sz w:val="16"/>
      <w:szCs w:val="16"/>
    </w:rPr>
  </w:style>
  <w:style w:type="character" w:customStyle="1" w:styleId="MapadokumentuZnak">
    <w:name w:val="Mapa dokumentu Znak"/>
    <w:basedOn w:val="Domylnaczcionkaakapitu"/>
    <w:uiPriority w:val="99"/>
    <w:semiHidden/>
    <w:rsid w:val="006B262B"/>
    <w:rPr>
      <w:rFonts w:ascii="Segoe UI" w:eastAsia="Times New Roman" w:hAnsi="Segoe UI" w:cs="Segoe UI"/>
      <w:sz w:val="16"/>
      <w:szCs w:val="16"/>
      <w:lang w:eastAsia="pl-PL"/>
    </w:rPr>
  </w:style>
  <w:style w:type="character" w:customStyle="1" w:styleId="MapadokumentuZnak1">
    <w:name w:val="Mapa dokumentu Znak1"/>
    <w:link w:val="Mapadokumentu"/>
    <w:uiPriority w:val="99"/>
    <w:semiHidden/>
    <w:rsid w:val="006B262B"/>
    <w:rPr>
      <w:rFonts w:ascii="Tahoma" w:eastAsia="Times New Roman" w:hAnsi="Tahoma" w:cs="Times New Roman"/>
      <w:sz w:val="16"/>
      <w:szCs w:val="16"/>
    </w:rPr>
  </w:style>
  <w:style w:type="paragraph" w:styleId="Tekstpodstawowy2">
    <w:name w:val="Body Text 2"/>
    <w:basedOn w:val="Normalny"/>
    <w:link w:val="Tekstpodstawowy2Znak"/>
    <w:uiPriority w:val="99"/>
    <w:semiHidden/>
    <w:unhideWhenUsed/>
    <w:rsid w:val="006B262B"/>
    <w:pPr>
      <w:spacing w:after="120" w:line="480" w:lineRule="auto"/>
    </w:pPr>
  </w:style>
  <w:style w:type="character" w:customStyle="1" w:styleId="Tekstpodstawowy2Znak">
    <w:name w:val="Tekst podstawowy 2 Znak"/>
    <w:basedOn w:val="Domylnaczcionkaakapitu"/>
    <w:link w:val="Tekstpodstawowy2"/>
    <w:uiPriority w:val="99"/>
    <w:semiHidden/>
    <w:rsid w:val="006B262B"/>
    <w:rPr>
      <w:rFonts w:ascii="Calibri" w:eastAsia="Times New Roman" w:hAnsi="Calibri" w:cs="Calibri"/>
      <w:sz w:val="20"/>
      <w:szCs w:val="20"/>
      <w:lang w:eastAsia="pl-PL"/>
    </w:rPr>
  </w:style>
  <w:style w:type="character" w:customStyle="1" w:styleId="Nierozpoznanawzmianka1">
    <w:name w:val="Nierozpoznana wzmianka1"/>
    <w:uiPriority w:val="99"/>
    <w:semiHidden/>
    <w:unhideWhenUsed/>
    <w:rsid w:val="006B262B"/>
    <w:rPr>
      <w:color w:val="605E5C"/>
      <w:shd w:val="clear" w:color="auto" w:fill="E1DFDD"/>
    </w:rPr>
  </w:style>
  <w:style w:type="table" w:customStyle="1" w:styleId="TableGrid">
    <w:name w:val="TableGrid"/>
    <w:rsid w:val="006B262B"/>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2">
    <w:name w:val="Tabela - Siatka42"/>
    <w:basedOn w:val="Standardowy"/>
    <w:next w:val="Tabela-Siatka"/>
    <w:uiPriority w:val="59"/>
    <w:rsid w:val="00EE649A"/>
    <w:pPr>
      <w:spacing w:after="0" w:line="240" w:lineRule="auto"/>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uiPriority w:val="20"/>
    <w:qFormat/>
    <w:rsid w:val="006B262B"/>
    <w:rPr>
      <w:i/>
      <w:iCs/>
    </w:rPr>
  </w:style>
  <w:style w:type="table" w:customStyle="1" w:styleId="Tabela-Siatka5">
    <w:name w:val="Tabela - Siatka5"/>
    <w:basedOn w:val="Standardowy"/>
    <w:next w:val="Tabela-Siatka"/>
    <w:uiPriority w:val="59"/>
    <w:rsid w:val="006B262B"/>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autoRedefine/>
    <w:qFormat/>
    <w:rsid w:val="006B262B"/>
    <w:pPr>
      <w:ind w:left="426" w:hanging="426"/>
      <w:jc w:val="both"/>
    </w:pPr>
    <w:rPr>
      <w:b/>
    </w:rPr>
  </w:style>
  <w:style w:type="paragraph" w:styleId="Tytu">
    <w:name w:val="Title"/>
    <w:basedOn w:val="Normalny"/>
    <w:next w:val="Normalny"/>
    <w:link w:val="TytuZnak"/>
    <w:autoRedefine/>
    <w:uiPriority w:val="10"/>
    <w:qFormat/>
    <w:rsid w:val="00FB1688"/>
    <w:pPr>
      <w:spacing w:before="600" w:after="0" w:line="360" w:lineRule="auto"/>
      <w:contextualSpacing/>
      <w:jc w:val="center"/>
    </w:pPr>
    <w:rPr>
      <w:rFonts w:eastAsiaTheme="majorEastAsia" w:cstheme="majorBidi"/>
      <w:b/>
      <w:spacing w:val="-10"/>
      <w:kern w:val="28"/>
      <w:sz w:val="36"/>
      <w:szCs w:val="56"/>
    </w:rPr>
  </w:style>
  <w:style w:type="character" w:customStyle="1" w:styleId="TytuZnak">
    <w:name w:val="Tytuł Znak"/>
    <w:basedOn w:val="Domylnaczcionkaakapitu"/>
    <w:link w:val="Tytu"/>
    <w:uiPriority w:val="10"/>
    <w:rsid w:val="00FB1688"/>
    <w:rPr>
      <w:rFonts w:ascii="Arial" w:eastAsiaTheme="majorEastAsia" w:hAnsi="Arial" w:cstheme="majorBidi"/>
      <w:b/>
      <w:spacing w:val="-10"/>
      <w:kern w:val="28"/>
      <w:sz w:val="36"/>
      <w:szCs w:val="56"/>
      <w:lang w:eastAsia="pl-PL"/>
    </w:rPr>
  </w:style>
  <w:style w:type="character" w:customStyle="1" w:styleId="Styl1Znak">
    <w:name w:val="Styl1 Znak"/>
    <w:basedOn w:val="Domylnaczcionkaakapitu"/>
    <w:link w:val="Styl1"/>
    <w:rsid w:val="006B262B"/>
    <w:rPr>
      <w:rFonts w:ascii="Arial" w:eastAsia="Times New Roman" w:hAnsi="Arial" w:cs="Calibri"/>
      <w:b/>
      <w:sz w:val="24"/>
      <w:szCs w:val="20"/>
      <w:lang w:eastAsia="pl-PL"/>
    </w:rPr>
  </w:style>
  <w:style w:type="paragraph" w:styleId="Podtytu">
    <w:name w:val="Subtitle"/>
    <w:basedOn w:val="Normalny"/>
    <w:next w:val="Normalny"/>
    <w:link w:val="PodtytuZnak"/>
    <w:autoRedefine/>
    <w:uiPriority w:val="11"/>
    <w:qFormat/>
    <w:rsid w:val="006B262B"/>
    <w:pPr>
      <w:numPr>
        <w:ilvl w:val="1"/>
        <w:numId w:val="10"/>
      </w:numPr>
      <w:spacing w:before="120" w:after="120" w:line="360" w:lineRule="auto"/>
      <w:jc w:val="both"/>
    </w:pPr>
    <w:rPr>
      <w:rFonts w:eastAsiaTheme="minorEastAsia" w:cstheme="minorBidi"/>
      <w:b/>
      <w:color w:val="000000" w:themeColor="text1"/>
      <w:spacing w:val="15"/>
      <w:szCs w:val="22"/>
    </w:rPr>
  </w:style>
  <w:style w:type="character" w:customStyle="1" w:styleId="PodtytuZnak">
    <w:name w:val="Podtytuł Znak"/>
    <w:basedOn w:val="Domylnaczcionkaakapitu"/>
    <w:link w:val="Podtytu"/>
    <w:uiPriority w:val="11"/>
    <w:rsid w:val="006B262B"/>
    <w:rPr>
      <w:rFonts w:ascii="Arial" w:eastAsiaTheme="minorEastAsia" w:hAnsi="Arial"/>
      <w:b/>
      <w:color w:val="000000" w:themeColor="text1"/>
      <w:spacing w:val="15"/>
      <w:sz w:val="24"/>
      <w:lang w:eastAsia="pl-PL"/>
    </w:rPr>
  </w:style>
  <w:style w:type="numbering" w:customStyle="1" w:styleId="Styl2">
    <w:name w:val="Styl2"/>
    <w:uiPriority w:val="99"/>
    <w:rsid w:val="006B262B"/>
    <w:pPr>
      <w:numPr>
        <w:numId w:val="16"/>
      </w:numPr>
    </w:pPr>
  </w:style>
  <w:style w:type="paragraph" w:styleId="Spistreci4">
    <w:name w:val="toc 4"/>
    <w:basedOn w:val="Normalny"/>
    <w:next w:val="Normalny"/>
    <w:autoRedefine/>
    <w:uiPriority w:val="39"/>
    <w:unhideWhenUsed/>
    <w:rsid w:val="006B262B"/>
    <w:pPr>
      <w:spacing w:after="0"/>
      <w:ind w:left="600"/>
    </w:pPr>
    <w:rPr>
      <w:rFonts w:asciiTheme="minorHAnsi" w:hAnsiTheme="minorHAnsi"/>
      <w:sz w:val="18"/>
      <w:szCs w:val="18"/>
    </w:rPr>
  </w:style>
  <w:style w:type="paragraph" w:styleId="Spistreci5">
    <w:name w:val="toc 5"/>
    <w:basedOn w:val="Normalny"/>
    <w:next w:val="Normalny"/>
    <w:autoRedefine/>
    <w:uiPriority w:val="39"/>
    <w:unhideWhenUsed/>
    <w:rsid w:val="006B262B"/>
    <w:pPr>
      <w:spacing w:after="0"/>
      <w:ind w:left="800"/>
    </w:pPr>
    <w:rPr>
      <w:rFonts w:asciiTheme="minorHAnsi" w:hAnsiTheme="minorHAnsi"/>
      <w:sz w:val="18"/>
      <w:szCs w:val="18"/>
    </w:rPr>
  </w:style>
  <w:style w:type="paragraph" w:styleId="Spistreci6">
    <w:name w:val="toc 6"/>
    <w:basedOn w:val="Normalny"/>
    <w:next w:val="Normalny"/>
    <w:autoRedefine/>
    <w:uiPriority w:val="39"/>
    <w:unhideWhenUsed/>
    <w:rsid w:val="006B262B"/>
    <w:pPr>
      <w:spacing w:after="0"/>
      <w:ind w:left="1000"/>
    </w:pPr>
    <w:rPr>
      <w:rFonts w:asciiTheme="minorHAnsi" w:hAnsiTheme="minorHAnsi"/>
      <w:sz w:val="18"/>
      <w:szCs w:val="18"/>
    </w:rPr>
  </w:style>
  <w:style w:type="paragraph" w:styleId="Spistreci7">
    <w:name w:val="toc 7"/>
    <w:basedOn w:val="Normalny"/>
    <w:next w:val="Normalny"/>
    <w:autoRedefine/>
    <w:uiPriority w:val="39"/>
    <w:unhideWhenUsed/>
    <w:rsid w:val="006B262B"/>
    <w:pPr>
      <w:spacing w:after="0"/>
      <w:ind w:left="1200"/>
    </w:pPr>
    <w:rPr>
      <w:rFonts w:asciiTheme="minorHAnsi" w:hAnsiTheme="minorHAnsi"/>
      <w:sz w:val="18"/>
      <w:szCs w:val="18"/>
    </w:rPr>
  </w:style>
  <w:style w:type="paragraph" w:styleId="Spistreci8">
    <w:name w:val="toc 8"/>
    <w:basedOn w:val="Normalny"/>
    <w:next w:val="Normalny"/>
    <w:autoRedefine/>
    <w:uiPriority w:val="39"/>
    <w:unhideWhenUsed/>
    <w:rsid w:val="006B262B"/>
    <w:pPr>
      <w:spacing w:after="0"/>
      <w:ind w:left="1400"/>
    </w:pPr>
    <w:rPr>
      <w:rFonts w:asciiTheme="minorHAnsi" w:hAnsiTheme="minorHAnsi"/>
      <w:sz w:val="18"/>
      <w:szCs w:val="18"/>
    </w:rPr>
  </w:style>
  <w:style w:type="paragraph" w:styleId="Spistreci9">
    <w:name w:val="toc 9"/>
    <w:basedOn w:val="Normalny"/>
    <w:next w:val="Normalny"/>
    <w:autoRedefine/>
    <w:uiPriority w:val="39"/>
    <w:unhideWhenUsed/>
    <w:rsid w:val="006B262B"/>
    <w:pPr>
      <w:spacing w:after="0"/>
      <w:ind w:left="1600"/>
    </w:pPr>
    <w:rPr>
      <w:rFonts w:asciiTheme="minorHAnsi" w:hAnsiTheme="minorHAnsi"/>
      <w:sz w:val="18"/>
      <w:szCs w:val="18"/>
    </w:rPr>
  </w:style>
  <w:style w:type="character" w:styleId="UyteHipercze">
    <w:name w:val="FollowedHyperlink"/>
    <w:basedOn w:val="Domylnaczcionkaakapitu"/>
    <w:uiPriority w:val="99"/>
    <w:semiHidden/>
    <w:unhideWhenUsed/>
    <w:rsid w:val="006B262B"/>
    <w:rPr>
      <w:color w:val="954F72" w:themeColor="followedHyperlink"/>
      <w:u w:val="single"/>
    </w:rPr>
  </w:style>
  <w:style w:type="character" w:customStyle="1" w:styleId="Nierozpoznanawzmianka2">
    <w:name w:val="Nierozpoznana wzmianka2"/>
    <w:basedOn w:val="Domylnaczcionkaakapitu"/>
    <w:uiPriority w:val="99"/>
    <w:semiHidden/>
    <w:unhideWhenUsed/>
    <w:rsid w:val="006B262B"/>
    <w:rPr>
      <w:color w:val="605E5C"/>
      <w:shd w:val="clear" w:color="auto" w:fill="E1DFDD"/>
    </w:rPr>
  </w:style>
  <w:style w:type="character" w:customStyle="1" w:styleId="Nierozpoznanawzmianka3">
    <w:name w:val="Nierozpoznana wzmianka3"/>
    <w:basedOn w:val="Domylnaczcionkaakapitu"/>
    <w:uiPriority w:val="99"/>
    <w:semiHidden/>
    <w:unhideWhenUsed/>
    <w:rsid w:val="006B262B"/>
    <w:rPr>
      <w:color w:val="605E5C"/>
      <w:shd w:val="clear" w:color="auto" w:fill="E1DFDD"/>
    </w:rPr>
  </w:style>
  <w:style w:type="paragraph" w:customStyle="1" w:styleId="tresc">
    <w:name w:val="tresc"/>
    <w:basedOn w:val="Normalny"/>
    <w:rsid w:val="006B262B"/>
    <w:pPr>
      <w:spacing w:before="100" w:beforeAutospacing="1" w:after="100" w:afterAutospacing="1" w:line="240" w:lineRule="auto"/>
    </w:pPr>
    <w:rPr>
      <w:rFonts w:ascii="Times New Roman" w:hAnsi="Times New Roman" w:cs="Times New Roman"/>
      <w:szCs w:val="24"/>
    </w:rPr>
  </w:style>
  <w:style w:type="character" w:customStyle="1" w:styleId="Nierozpoznanawzmianka4">
    <w:name w:val="Nierozpoznana wzmianka4"/>
    <w:basedOn w:val="Domylnaczcionkaakapitu"/>
    <w:uiPriority w:val="99"/>
    <w:semiHidden/>
    <w:unhideWhenUsed/>
    <w:rsid w:val="006B262B"/>
    <w:rPr>
      <w:color w:val="605E5C"/>
      <w:shd w:val="clear" w:color="auto" w:fill="E1DFDD"/>
    </w:rPr>
  </w:style>
  <w:style w:type="character" w:customStyle="1" w:styleId="Nagwek6Znak">
    <w:name w:val="Nagłówek 6 Znak"/>
    <w:basedOn w:val="Domylnaczcionkaakapitu"/>
    <w:link w:val="Nagwek6"/>
    <w:uiPriority w:val="9"/>
    <w:semiHidden/>
    <w:rsid w:val="00C76F57"/>
    <w:rPr>
      <w:rFonts w:ascii="Symbol" w:eastAsia="TimesNewRoman,Bold" w:hAnsi="Symbol" w:cs="Times New Roman"/>
      <w:color w:val="595959"/>
      <w:sz w:val="20"/>
      <w:szCs w:val="20"/>
    </w:rPr>
  </w:style>
  <w:style w:type="character" w:customStyle="1" w:styleId="Nagwek7Znak">
    <w:name w:val="Nagłówek 7 Znak"/>
    <w:basedOn w:val="Domylnaczcionkaakapitu"/>
    <w:link w:val="Nagwek7"/>
    <w:uiPriority w:val="9"/>
    <w:semiHidden/>
    <w:rsid w:val="00C76F57"/>
    <w:rPr>
      <w:rFonts w:ascii="Symbol" w:eastAsia="TimesNewRoman,Bold" w:hAnsi="Symbol" w:cs="Times New Roman"/>
      <w:i/>
      <w:iCs/>
      <w:color w:val="595959"/>
      <w:sz w:val="20"/>
      <w:szCs w:val="20"/>
    </w:rPr>
  </w:style>
  <w:style w:type="character" w:customStyle="1" w:styleId="Nagwek8Znak">
    <w:name w:val="Nagłówek 8 Znak"/>
    <w:basedOn w:val="Domylnaczcionkaakapitu"/>
    <w:link w:val="Nagwek8"/>
    <w:uiPriority w:val="9"/>
    <w:semiHidden/>
    <w:rsid w:val="00C76F57"/>
    <w:rPr>
      <w:rFonts w:ascii="Symbol" w:eastAsia="TimesNewRoman,Bold" w:hAnsi="Symbol" w:cs="Times New Roman"/>
      <w:smallCaps/>
      <w:color w:val="595959"/>
      <w:sz w:val="20"/>
      <w:szCs w:val="20"/>
    </w:rPr>
  </w:style>
  <w:style w:type="character" w:customStyle="1" w:styleId="Nagwek9Znak">
    <w:name w:val="Nagłówek 9 Znak"/>
    <w:basedOn w:val="Domylnaczcionkaakapitu"/>
    <w:link w:val="Nagwek9"/>
    <w:uiPriority w:val="9"/>
    <w:semiHidden/>
    <w:rsid w:val="00C76F57"/>
    <w:rPr>
      <w:rFonts w:ascii="Symbol" w:eastAsia="TimesNewRoman,Bold" w:hAnsi="Symbol" w:cs="Times New Roman"/>
      <w:i/>
      <w:iCs/>
      <w:smallCaps/>
      <w:color w:val="595959"/>
      <w:sz w:val="20"/>
      <w:szCs w:val="20"/>
    </w:rPr>
  </w:style>
  <w:style w:type="paragraph" w:customStyle="1" w:styleId="Tekstprzypisudolnego1">
    <w:name w:val="Tekst przypisu dolnego1"/>
    <w:basedOn w:val="Normalny"/>
    <w:next w:val="Tekstprzypisudolnego"/>
    <w:uiPriority w:val="99"/>
    <w:semiHidden/>
    <w:rsid w:val="00C76F57"/>
    <w:pPr>
      <w:spacing w:after="0" w:line="240" w:lineRule="auto"/>
    </w:pPr>
    <w:rPr>
      <w:rFonts w:eastAsia="Calibri" w:cs="Times New Roman"/>
      <w:lang w:eastAsia="en-US"/>
    </w:rPr>
  </w:style>
  <w:style w:type="table" w:customStyle="1" w:styleId="Tabela-Siatka11">
    <w:name w:val="Tabela - Siatka11"/>
    <w:basedOn w:val="Standardowy"/>
    <w:uiPriority w:val="59"/>
    <w:rsid w:val="00C76F57"/>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C76F57"/>
    <w:pPr>
      <w:spacing w:after="0" w:line="240" w:lineRule="auto"/>
      <w:jc w:val="both"/>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link w:val="BezodstpwZnak"/>
    <w:uiPriority w:val="1"/>
    <w:qFormat/>
    <w:rsid w:val="00C76F57"/>
    <w:pPr>
      <w:numPr>
        <w:numId w:val="20"/>
      </w:numPr>
      <w:spacing w:after="0" w:line="240" w:lineRule="auto"/>
      <w:ind w:left="357" w:hanging="357"/>
    </w:pPr>
    <w:rPr>
      <w:rFonts w:ascii="TimesNewRomanPSMT" w:eastAsia="TimesNewRoman,Bold" w:hAnsi="TimesNewRomanPSMT" w:cs="TimesNewRoman,Bold"/>
      <w:b/>
      <w:bCs/>
      <w:sz w:val="20"/>
      <w:szCs w:val="20"/>
    </w:rPr>
  </w:style>
  <w:style w:type="character" w:customStyle="1" w:styleId="BezodstpwZnak">
    <w:name w:val="Bez odstępów Znak"/>
    <w:link w:val="Bezodstpw"/>
    <w:uiPriority w:val="1"/>
    <w:rsid w:val="00C76F57"/>
    <w:rPr>
      <w:rFonts w:ascii="TimesNewRomanPSMT" w:eastAsia="TimesNewRoman,Bold" w:hAnsi="TimesNewRomanPSMT" w:cs="TimesNewRoman,Bold"/>
      <w:b/>
      <w:bCs/>
      <w:sz w:val="20"/>
      <w:szCs w:val="20"/>
    </w:rPr>
  </w:style>
  <w:style w:type="character" w:styleId="Pogrubienie">
    <w:name w:val="Strong"/>
    <w:uiPriority w:val="22"/>
    <w:qFormat/>
    <w:rsid w:val="00C76F57"/>
    <w:rPr>
      <w:b/>
      <w:bCs/>
    </w:rPr>
  </w:style>
  <w:style w:type="paragraph" w:styleId="Cytat">
    <w:name w:val="Quote"/>
    <w:basedOn w:val="Normalny"/>
    <w:next w:val="Normalny"/>
    <w:link w:val="CytatZnak"/>
    <w:uiPriority w:val="29"/>
    <w:qFormat/>
    <w:rsid w:val="00C76F57"/>
    <w:pPr>
      <w:spacing w:before="240" w:after="240" w:line="252" w:lineRule="auto"/>
      <w:ind w:left="864" w:right="864"/>
      <w:jc w:val="center"/>
    </w:pPr>
    <w:rPr>
      <w:rFonts w:ascii="Symbol" w:eastAsia="TimesNewRoman,Bold" w:hAnsi="Symbol" w:cs="Times New Roman"/>
      <w:i/>
      <w:iCs/>
    </w:rPr>
  </w:style>
  <w:style w:type="character" w:customStyle="1" w:styleId="CytatZnak">
    <w:name w:val="Cytat Znak"/>
    <w:basedOn w:val="Domylnaczcionkaakapitu"/>
    <w:link w:val="Cytat"/>
    <w:uiPriority w:val="29"/>
    <w:rsid w:val="00C76F57"/>
    <w:rPr>
      <w:rFonts w:ascii="Symbol" w:eastAsia="TimesNewRoman,Bold" w:hAnsi="Symbol" w:cs="Times New Roman"/>
      <w:i/>
      <w:iCs/>
      <w:sz w:val="20"/>
      <w:szCs w:val="20"/>
    </w:rPr>
  </w:style>
  <w:style w:type="paragraph" w:styleId="Cytatintensywny">
    <w:name w:val="Intense Quote"/>
    <w:basedOn w:val="Normalny"/>
    <w:next w:val="Normalny"/>
    <w:link w:val="CytatintensywnyZnak"/>
    <w:uiPriority w:val="30"/>
    <w:qFormat/>
    <w:rsid w:val="00C76F57"/>
    <w:pPr>
      <w:spacing w:before="100" w:beforeAutospacing="1" w:after="240" w:line="288" w:lineRule="auto"/>
      <w:ind w:left="864" w:right="864"/>
      <w:jc w:val="center"/>
    </w:pPr>
    <w:rPr>
      <w:rFonts w:ascii="Symbol" w:eastAsia="TimesNewRoman,Bold" w:hAnsi="Symbol" w:cs="Times New Roman"/>
      <w:color w:val="418AB3"/>
      <w:sz w:val="28"/>
      <w:szCs w:val="28"/>
    </w:rPr>
  </w:style>
  <w:style w:type="character" w:customStyle="1" w:styleId="CytatintensywnyZnak">
    <w:name w:val="Cytat intensywny Znak"/>
    <w:basedOn w:val="Domylnaczcionkaakapitu"/>
    <w:link w:val="Cytatintensywny"/>
    <w:uiPriority w:val="30"/>
    <w:rsid w:val="00C76F57"/>
    <w:rPr>
      <w:rFonts w:ascii="Symbol" w:eastAsia="TimesNewRoman,Bold" w:hAnsi="Symbol" w:cs="Times New Roman"/>
      <w:color w:val="418AB3"/>
      <w:sz w:val="28"/>
      <w:szCs w:val="28"/>
    </w:rPr>
  </w:style>
  <w:style w:type="character" w:styleId="Wyrnieniedelikatne">
    <w:name w:val="Subtle Emphasis"/>
    <w:uiPriority w:val="19"/>
    <w:qFormat/>
    <w:rsid w:val="00C76F57"/>
    <w:rPr>
      <w:i/>
      <w:iCs/>
      <w:color w:val="595959"/>
    </w:rPr>
  </w:style>
  <w:style w:type="character" w:styleId="Wyrnienieintensywne">
    <w:name w:val="Intense Emphasis"/>
    <w:uiPriority w:val="21"/>
    <w:qFormat/>
    <w:rsid w:val="00C76F57"/>
    <w:rPr>
      <w:b/>
      <w:bCs/>
      <w:i/>
      <w:iCs/>
    </w:rPr>
  </w:style>
  <w:style w:type="character" w:styleId="Odwoaniedelikatne">
    <w:name w:val="Subtle Reference"/>
    <w:uiPriority w:val="31"/>
    <w:qFormat/>
    <w:rsid w:val="00C76F57"/>
    <w:rPr>
      <w:smallCaps/>
      <w:color w:val="404040"/>
    </w:rPr>
  </w:style>
  <w:style w:type="character" w:styleId="Odwoanieintensywne">
    <w:name w:val="Intense Reference"/>
    <w:uiPriority w:val="32"/>
    <w:qFormat/>
    <w:rsid w:val="00C76F57"/>
    <w:rPr>
      <w:b/>
      <w:bCs/>
      <w:smallCaps/>
      <w:u w:val="single"/>
    </w:rPr>
  </w:style>
  <w:style w:type="character" w:styleId="Tytuksiki">
    <w:name w:val="Book Title"/>
    <w:uiPriority w:val="33"/>
    <w:qFormat/>
    <w:rsid w:val="00C76F57"/>
    <w:rPr>
      <w:b/>
      <w:bCs/>
      <w:smallCaps/>
    </w:rPr>
  </w:style>
  <w:style w:type="table" w:customStyle="1" w:styleId="Tabelasiatki1jasnaakcent31">
    <w:name w:val="Tabela siatki 1 — jasna — akcent 3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FD395"/>
        <w:left w:val="single" w:sz="4" w:space="0" w:color="FFD395"/>
        <w:bottom w:val="single" w:sz="4" w:space="0" w:color="FFD395"/>
        <w:right w:val="single" w:sz="4" w:space="0" w:color="FFD395"/>
        <w:insideH w:val="single" w:sz="4" w:space="0" w:color="FFD395"/>
        <w:insideV w:val="single" w:sz="4" w:space="0" w:color="FFD395"/>
      </w:tblBorders>
    </w:tblPr>
    <w:tblStylePr w:type="firstRow">
      <w:rPr>
        <w:b/>
        <w:bCs/>
      </w:rPr>
      <w:tblPr/>
      <w:tcPr>
        <w:tcBorders>
          <w:bottom w:val="single" w:sz="12" w:space="0" w:color="FFBE60"/>
        </w:tcBorders>
      </w:tcPr>
    </w:tblStylePr>
    <w:tblStylePr w:type="lastRow">
      <w:rPr>
        <w:b/>
        <w:bCs/>
      </w:rPr>
      <w:tblPr/>
      <w:tcPr>
        <w:tcBorders>
          <w:top w:val="double" w:sz="2" w:space="0" w:color="FFBE60"/>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A0">
    <w:name w:val="A0"/>
    <w:uiPriority w:val="99"/>
    <w:rsid w:val="00C76F57"/>
    <w:rPr>
      <w:rFonts w:cs="Calibri"/>
      <w:b/>
      <w:bCs/>
      <w:color w:val="000000"/>
      <w:sz w:val="76"/>
      <w:szCs w:val="76"/>
    </w:rPr>
  </w:style>
  <w:style w:type="character" w:customStyle="1" w:styleId="A6">
    <w:name w:val="A6"/>
    <w:uiPriority w:val="99"/>
    <w:rsid w:val="00C76F57"/>
    <w:rPr>
      <w:rFonts w:ascii="Calibri" w:hAnsi="Calibri" w:cs="Calibri"/>
      <w:color w:val="000000"/>
      <w:sz w:val="16"/>
      <w:szCs w:val="16"/>
    </w:rPr>
  </w:style>
  <w:style w:type="paragraph" w:customStyle="1" w:styleId="rdo">
    <w:name w:val="Źródło"/>
    <w:basedOn w:val="Normalny"/>
    <w:link w:val="rdoZnak"/>
    <w:qFormat/>
    <w:rsid w:val="00C76F57"/>
    <w:pPr>
      <w:spacing w:after="120" w:line="288" w:lineRule="auto"/>
      <w:jc w:val="right"/>
    </w:pPr>
    <w:rPr>
      <w:rFonts w:ascii="TimesNewRomanPSMT" w:eastAsia="TimesNewRoman,Bold" w:hAnsi="TimesNewRomanPSMT" w:cs="TimesNewRoman,Bold"/>
      <w:color w:val="404040"/>
      <w:sz w:val="16"/>
      <w:szCs w:val="21"/>
      <w:lang w:eastAsia="en-US"/>
    </w:rPr>
  </w:style>
  <w:style w:type="character" w:customStyle="1" w:styleId="rdoZnak">
    <w:name w:val="Źródło Znak"/>
    <w:link w:val="rdo"/>
    <w:rsid w:val="00C76F57"/>
    <w:rPr>
      <w:rFonts w:ascii="TimesNewRomanPSMT" w:eastAsia="TimesNewRoman,Bold" w:hAnsi="TimesNewRomanPSMT" w:cs="TimesNewRoman,Bold"/>
      <w:color w:val="404040"/>
      <w:sz w:val="16"/>
      <w:szCs w:val="21"/>
    </w:rPr>
  </w:style>
  <w:style w:type="table" w:customStyle="1" w:styleId="Tabelasiatki4akcent11">
    <w:name w:val="Tabela siatki 4 — akcent 1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color w:val="FFFFFF"/>
      </w:rPr>
      <w:tblPr/>
      <w:tcPr>
        <w:tcBorders>
          <w:top w:val="single" w:sz="4" w:space="0" w:color="418AB3"/>
          <w:left w:val="single" w:sz="4" w:space="0" w:color="418AB3"/>
          <w:bottom w:val="single" w:sz="4" w:space="0" w:color="418AB3"/>
          <w:right w:val="single" w:sz="4" w:space="0" w:color="418AB3"/>
          <w:insideH w:val="nil"/>
          <w:insideV w:val="nil"/>
        </w:tcBorders>
        <w:shd w:val="clear" w:color="auto" w:fill="418AB3"/>
      </w:tcPr>
    </w:tblStylePr>
    <w:tblStylePr w:type="lastRow">
      <w:rPr>
        <w:b/>
        <w:bCs/>
      </w:rPr>
      <w:tblPr/>
      <w:tcPr>
        <w:tcBorders>
          <w:top w:val="double" w:sz="4" w:space="0" w:color="418AB3"/>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Tabelasiatki4akcent21">
    <w:name w:val="Tabela siatki 4 — akcent 2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Poprawka">
    <w:name w:val="Revision"/>
    <w:hidden/>
    <w:uiPriority w:val="99"/>
    <w:semiHidden/>
    <w:rsid w:val="00C76F57"/>
    <w:pPr>
      <w:spacing w:after="0" w:line="240" w:lineRule="auto"/>
    </w:pPr>
    <w:rPr>
      <w:rFonts w:ascii="TimesNewRomanPSMT" w:eastAsia="TimesNewRoman,Bold" w:hAnsi="TimesNewRomanPSMT" w:cs="TimesNewRoman,Bold"/>
      <w:sz w:val="20"/>
      <w:szCs w:val="21"/>
    </w:rPr>
  </w:style>
  <w:style w:type="paragraph" w:customStyle="1" w:styleId="marszaek1">
    <w:name w:val="marszałek 1"/>
    <w:basedOn w:val="Akapitzlist"/>
    <w:link w:val="marszaek1Znak"/>
    <w:rsid w:val="00C76F57"/>
    <w:pPr>
      <w:numPr>
        <w:numId w:val="19"/>
      </w:numPr>
      <w:tabs>
        <w:tab w:val="left" w:pos="0"/>
      </w:tabs>
      <w:spacing w:line="360" w:lineRule="auto"/>
      <w:contextualSpacing/>
      <w:jc w:val="both"/>
    </w:pPr>
    <w:rPr>
      <w:rFonts w:eastAsiaTheme="minorEastAsia" w:cs="Arial"/>
      <w:b/>
      <w:bCs/>
      <w:szCs w:val="24"/>
    </w:rPr>
  </w:style>
  <w:style w:type="paragraph" w:customStyle="1" w:styleId="Arial1">
    <w:name w:val="Arial 1"/>
    <w:basedOn w:val="Nagwek1"/>
    <w:link w:val="Arial1Znak"/>
    <w:qFormat/>
    <w:rsid w:val="00C76F57"/>
    <w:pPr>
      <w:keepLines/>
      <w:numPr>
        <w:numId w:val="0"/>
      </w:numPr>
      <w:tabs>
        <w:tab w:val="clear" w:pos="426"/>
      </w:tabs>
      <w:spacing w:before="480" w:after="240" w:line="240" w:lineRule="auto"/>
    </w:pPr>
    <w:rPr>
      <w:rFonts w:eastAsia="TimesNewRoman,Bold"/>
      <w:b w:val="0"/>
      <w:bCs w:val="0"/>
      <w:color w:val="000000" w:themeColor="text1"/>
      <w:kern w:val="0"/>
      <w:sz w:val="20"/>
      <w:szCs w:val="36"/>
    </w:rPr>
  </w:style>
  <w:style w:type="character" w:customStyle="1" w:styleId="marszaek1Znak">
    <w:name w:val="marszałek 1 Znak"/>
    <w:basedOn w:val="AkapitzlistZnak"/>
    <w:link w:val="marszaek1"/>
    <w:rsid w:val="00C76F57"/>
    <w:rPr>
      <w:rFonts w:ascii="Arial" w:eastAsiaTheme="minorEastAsia" w:hAnsi="Arial" w:cs="Arial"/>
      <w:b/>
      <w:bCs/>
      <w:sz w:val="20"/>
      <w:szCs w:val="24"/>
      <w:lang w:eastAsia="pl-PL"/>
    </w:rPr>
  </w:style>
  <w:style w:type="character" w:customStyle="1" w:styleId="Arial1Znak">
    <w:name w:val="Arial 1 Znak"/>
    <w:basedOn w:val="marszaek1Znak"/>
    <w:link w:val="Arial1"/>
    <w:rsid w:val="00C76F57"/>
    <w:rPr>
      <w:rFonts w:ascii="Arial" w:eastAsia="TimesNewRoman,Bold" w:hAnsi="Arial" w:cs="Times New Roman"/>
      <w:b w:val="0"/>
      <w:bCs w:val="0"/>
      <w:color w:val="000000" w:themeColor="text1"/>
      <w:sz w:val="20"/>
      <w:szCs w:val="36"/>
      <w:lang w:eastAsia="pl-PL"/>
    </w:rPr>
  </w:style>
  <w:style w:type="paragraph" w:customStyle="1" w:styleId="Akapitzlist1">
    <w:name w:val="Akapit z listą1"/>
    <w:basedOn w:val="Normalny"/>
    <w:semiHidden/>
    <w:rsid w:val="00C76F57"/>
    <w:pPr>
      <w:ind w:left="720"/>
      <w:contextualSpacing/>
    </w:pPr>
    <w:rPr>
      <w:rFonts w:cs="Times New Roman"/>
      <w:sz w:val="22"/>
      <w:szCs w:val="22"/>
    </w:rPr>
  </w:style>
  <w:style w:type="paragraph" w:customStyle="1" w:styleId="arialnormalny">
    <w:name w:val="arial normalny"/>
    <w:basedOn w:val="Normalny"/>
    <w:link w:val="arialnormalnyZnak"/>
    <w:qFormat/>
    <w:rsid w:val="00C76F57"/>
    <w:pPr>
      <w:spacing w:after="0" w:line="240" w:lineRule="auto"/>
      <w:jc w:val="both"/>
    </w:pPr>
    <w:rPr>
      <w:rFonts w:eastAsiaTheme="minorEastAsia" w:cstheme="minorBidi"/>
      <w:sz w:val="22"/>
      <w:szCs w:val="24"/>
    </w:rPr>
  </w:style>
  <w:style w:type="character" w:customStyle="1" w:styleId="arialnormalnyZnak">
    <w:name w:val="arial normalny Znak"/>
    <w:basedOn w:val="Domylnaczcionkaakapitu"/>
    <w:link w:val="arialnormalny"/>
    <w:rsid w:val="00C76F57"/>
    <w:rPr>
      <w:rFonts w:ascii="Arial" w:eastAsiaTheme="minorEastAsia" w:hAnsi="Arial"/>
      <w:szCs w:val="24"/>
      <w:lang w:eastAsia="pl-PL"/>
    </w:rPr>
  </w:style>
  <w:style w:type="paragraph" w:customStyle="1" w:styleId="Standard">
    <w:name w:val="Standard"/>
    <w:rsid w:val="00C76F57"/>
    <w:pPr>
      <w:widowControl w:val="0"/>
      <w:suppressAutoHyphens/>
      <w:autoSpaceDE w:val="0"/>
      <w:spacing w:after="0" w:line="240" w:lineRule="auto"/>
      <w:textAlignment w:val="baseline"/>
    </w:pPr>
    <w:rPr>
      <w:rFonts w:ascii="Times New Roman" w:eastAsia="SimSun" w:hAnsi="Times New Roman" w:cs="Times New Roman"/>
      <w:kern w:val="1"/>
      <w:sz w:val="24"/>
      <w:szCs w:val="24"/>
      <w:lang w:eastAsia="hi-IN" w:bidi="hi-IN"/>
    </w:rPr>
  </w:style>
  <w:style w:type="character" w:customStyle="1" w:styleId="markedcontent">
    <w:name w:val="markedcontent"/>
    <w:basedOn w:val="Domylnaczcionkaakapitu"/>
    <w:rsid w:val="004D0CE1"/>
  </w:style>
  <w:style w:type="character" w:customStyle="1" w:styleId="cf01">
    <w:name w:val="cf01"/>
    <w:basedOn w:val="Domylnaczcionkaakapitu"/>
    <w:rsid w:val="00CD2FBC"/>
    <w:rPr>
      <w:rFonts w:ascii="Segoe UI" w:hAnsi="Segoe UI" w:cs="Segoe UI" w:hint="default"/>
      <w:sz w:val="18"/>
      <w:szCs w:val="18"/>
    </w:rPr>
  </w:style>
  <w:style w:type="character" w:customStyle="1" w:styleId="Nierozpoznanawzmianka5">
    <w:name w:val="Nierozpoznana wzmianka5"/>
    <w:basedOn w:val="Domylnaczcionkaakapitu"/>
    <w:uiPriority w:val="99"/>
    <w:semiHidden/>
    <w:unhideWhenUsed/>
    <w:rsid w:val="003F3EF5"/>
    <w:rPr>
      <w:color w:val="605E5C"/>
      <w:shd w:val="clear" w:color="auto" w:fill="E1DFDD"/>
    </w:rPr>
  </w:style>
  <w:style w:type="table" w:customStyle="1" w:styleId="Tabelasiatki1jasnaakcent11">
    <w:name w:val="Tabela siatki 1 — jasna — akcent 11"/>
    <w:basedOn w:val="Standardowy"/>
    <w:uiPriority w:val="46"/>
    <w:rsid w:val="006F090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E6061B"/>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oxzekf">
    <w:name w:val="oxzekf"/>
    <w:basedOn w:val="Domylnaczcionkaakapitu"/>
    <w:rsid w:val="00AD04B0"/>
  </w:style>
  <w:style w:type="character" w:customStyle="1" w:styleId="uv3um">
    <w:name w:val="uv3um"/>
    <w:basedOn w:val="Domylnaczcionkaakapitu"/>
    <w:rsid w:val="00AD04B0"/>
  </w:style>
  <w:style w:type="paragraph" w:customStyle="1" w:styleId="luk1">
    <w:name w:val="luk1"/>
    <w:basedOn w:val="Normalny"/>
    <w:qFormat/>
    <w:rsid w:val="00EA4068"/>
    <w:pPr>
      <w:spacing w:after="0" w:line="480" w:lineRule="auto"/>
    </w:pPr>
    <w:rPr>
      <w:rFonts w:cs="Times New Roman"/>
      <w:b/>
      <w:sz w:val="26"/>
    </w:rPr>
  </w:style>
  <w:style w:type="table" w:customStyle="1" w:styleId="Zwykatabela31">
    <w:name w:val="Zwykła tabela 31"/>
    <w:basedOn w:val="Standardowy"/>
    <w:uiPriority w:val="43"/>
    <w:rsid w:val="002214FC"/>
    <w:pPr>
      <w:spacing w:after="0" w:line="240" w:lineRule="auto"/>
    </w:pPr>
    <w:rPr>
      <w:kern w:val="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ierozpoznanawzmianka">
    <w:name w:val="Unresolved Mention"/>
    <w:basedOn w:val="Domylnaczcionkaakapitu"/>
    <w:uiPriority w:val="99"/>
    <w:semiHidden/>
    <w:unhideWhenUsed/>
    <w:rsid w:val="00D5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2840">
      <w:bodyDiv w:val="1"/>
      <w:marLeft w:val="0"/>
      <w:marRight w:val="0"/>
      <w:marTop w:val="0"/>
      <w:marBottom w:val="0"/>
      <w:divBdr>
        <w:top w:val="none" w:sz="0" w:space="0" w:color="auto"/>
        <w:left w:val="none" w:sz="0" w:space="0" w:color="auto"/>
        <w:bottom w:val="none" w:sz="0" w:space="0" w:color="auto"/>
        <w:right w:val="none" w:sz="0" w:space="0" w:color="auto"/>
      </w:divBdr>
    </w:div>
    <w:div w:id="333998660">
      <w:bodyDiv w:val="1"/>
      <w:marLeft w:val="0"/>
      <w:marRight w:val="0"/>
      <w:marTop w:val="0"/>
      <w:marBottom w:val="0"/>
      <w:divBdr>
        <w:top w:val="none" w:sz="0" w:space="0" w:color="auto"/>
        <w:left w:val="none" w:sz="0" w:space="0" w:color="auto"/>
        <w:bottom w:val="none" w:sz="0" w:space="0" w:color="auto"/>
        <w:right w:val="none" w:sz="0" w:space="0" w:color="auto"/>
      </w:divBdr>
      <w:divsChild>
        <w:div w:id="1561674373">
          <w:marLeft w:val="0"/>
          <w:marRight w:val="0"/>
          <w:marTop w:val="0"/>
          <w:marBottom w:val="0"/>
          <w:divBdr>
            <w:top w:val="single" w:sz="2" w:space="0" w:color="E5E7EB"/>
            <w:left w:val="single" w:sz="2" w:space="0" w:color="E5E7EB"/>
            <w:bottom w:val="single" w:sz="2" w:space="0" w:color="E5E7EB"/>
            <w:right w:val="single" w:sz="2" w:space="0" w:color="E5E7EB"/>
          </w:divBdr>
          <w:divsChild>
            <w:div w:id="611278697">
              <w:marLeft w:val="0"/>
              <w:marRight w:val="0"/>
              <w:marTop w:val="0"/>
              <w:marBottom w:val="0"/>
              <w:divBdr>
                <w:top w:val="single" w:sz="2" w:space="0" w:color="E5E7EB"/>
                <w:left w:val="single" w:sz="2" w:space="0" w:color="E5E7EB"/>
                <w:bottom w:val="single" w:sz="2" w:space="0" w:color="E5E7EB"/>
                <w:right w:val="single" w:sz="2" w:space="0" w:color="E5E7EB"/>
              </w:divBdr>
              <w:divsChild>
                <w:div w:id="238566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9183843">
      <w:bodyDiv w:val="1"/>
      <w:marLeft w:val="0"/>
      <w:marRight w:val="0"/>
      <w:marTop w:val="0"/>
      <w:marBottom w:val="0"/>
      <w:divBdr>
        <w:top w:val="none" w:sz="0" w:space="0" w:color="auto"/>
        <w:left w:val="none" w:sz="0" w:space="0" w:color="auto"/>
        <w:bottom w:val="none" w:sz="0" w:space="0" w:color="auto"/>
        <w:right w:val="none" w:sz="0" w:space="0" w:color="auto"/>
      </w:divBdr>
    </w:div>
    <w:div w:id="712464830">
      <w:bodyDiv w:val="1"/>
      <w:marLeft w:val="0"/>
      <w:marRight w:val="0"/>
      <w:marTop w:val="0"/>
      <w:marBottom w:val="0"/>
      <w:divBdr>
        <w:top w:val="none" w:sz="0" w:space="0" w:color="auto"/>
        <w:left w:val="none" w:sz="0" w:space="0" w:color="auto"/>
        <w:bottom w:val="none" w:sz="0" w:space="0" w:color="auto"/>
        <w:right w:val="none" w:sz="0" w:space="0" w:color="auto"/>
      </w:divBdr>
      <w:divsChild>
        <w:div w:id="410659944">
          <w:marLeft w:val="547"/>
          <w:marRight w:val="0"/>
          <w:marTop w:val="0"/>
          <w:marBottom w:val="0"/>
          <w:divBdr>
            <w:top w:val="none" w:sz="0" w:space="0" w:color="auto"/>
            <w:left w:val="none" w:sz="0" w:space="0" w:color="auto"/>
            <w:bottom w:val="none" w:sz="0" w:space="0" w:color="auto"/>
            <w:right w:val="none" w:sz="0" w:space="0" w:color="auto"/>
          </w:divBdr>
        </w:div>
      </w:divsChild>
    </w:div>
    <w:div w:id="878127682">
      <w:bodyDiv w:val="1"/>
      <w:marLeft w:val="0"/>
      <w:marRight w:val="0"/>
      <w:marTop w:val="0"/>
      <w:marBottom w:val="0"/>
      <w:divBdr>
        <w:top w:val="none" w:sz="0" w:space="0" w:color="auto"/>
        <w:left w:val="none" w:sz="0" w:space="0" w:color="auto"/>
        <w:bottom w:val="none" w:sz="0" w:space="0" w:color="auto"/>
        <w:right w:val="none" w:sz="0" w:space="0" w:color="auto"/>
      </w:divBdr>
      <w:divsChild>
        <w:div w:id="77139267">
          <w:marLeft w:val="360"/>
          <w:marRight w:val="0"/>
          <w:marTop w:val="200"/>
          <w:marBottom w:val="0"/>
          <w:divBdr>
            <w:top w:val="none" w:sz="0" w:space="0" w:color="auto"/>
            <w:left w:val="none" w:sz="0" w:space="0" w:color="auto"/>
            <w:bottom w:val="none" w:sz="0" w:space="0" w:color="auto"/>
            <w:right w:val="none" w:sz="0" w:space="0" w:color="auto"/>
          </w:divBdr>
        </w:div>
        <w:div w:id="116418416">
          <w:marLeft w:val="360"/>
          <w:marRight w:val="0"/>
          <w:marTop w:val="200"/>
          <w:marBottom w:val="0"/>
          <w:divBdr>
            <w:top w:val="none" w:sz="0" w:space="0" w:color="auto"/>
            <w:left w:val="none" w:sz="0" w:space="0" w:color="auto"/>
            <w:bottom w:val="none" w:sz="0" w:space="0" w:color="auto"/>
            <w:right w:val="none" w:sz="0" w:space="0" w:color="auto"/>
          </w:divBdr>
        </w:div>
        <w:div w:id="392509243">
          <w:marLeft w:val="360"/>
          <w:marRight w:val="0"/>
          <w:marTop w:val="200"/>
          <w:marBottom w:val="0"/>
          <w:divBdr>
            <w:top w:val="none" w:sz="0" w:space="0" w:color="auto"/>
            <w:left w:val="none" w:sz="0" w:space="0" w:color="auto"/>
            <w:bottom w:val="none" w:sz="0" w:space="0" w:color="auto"/>
            <w:right w:val="none" w:sz="0" w:space="0" w:color="auto"/>
          </w:divBdr>
        </w:div>
        <w:div w:id="1245844989">
          <w:marLeft w:val="360"/>
          <w:marRight w:val="0"/>
          <w:marTop w:val="200"/>
          <w:marBottom w:val="0"/>
          <w:divBdr>
            <w:top w:val="none" w:sz="0" w:space="0" w:color="auto"/>
            <w:left w:val="none" w:sz="0" w:space="0" w:color="auto"/>
            <w:bottom w:val="none" w:sz="0" w:space="0" w:color="auto"/>
            <w:right w:val="none" w:sz="0" w:space="0" w:color="auto"/>
          </w:divBdr>
        </w:div>
        <w:div w:id="1537237020">
          <w:marLeft w:val="360"/>
          <w:marRight w:val="0"/>
          <w:marTop w:val="200"/>
          <w:marBottom w:val="0"/>
          <w:divBdr>
            <w:top w:val="none" w:sz="0" w:space="0" w:color="auto"/>
            <w:left w:val="none" w:sz="0" w:space="0" w:color="auto"/>
            <w:bottom w:val="none" w:sz="0" w:space="0" w:color="auto"/>
            <w:right w:val="none" w:sz="0" w:space="0" w:color="auto"/>
          </w:divBdr>
        </w:div>
        <w:div w:id="1900552786">
          <w:marLeft w:val="360"/>
          <w:marRight w:val="0"/>
          <w:marTop w:val="200"/>
          <w:marBottom w:val="0"/>
          <w:divBdr>
            <w:top w:val="none" w:sz="0" w:space="0" w:color="auto"/>
            <w:left w:val="none" w:sz="0" w:space="0" w:color="auto"/>
            <w:bottom w:val="none" w:sz="0" w:space="0" w:color="auto"/>
            <w:right w:val="none" w:sz="0" w:space="0" w:color="auto"/>
          </w:divBdr>
        </w:div>
        <w:div w:id="1991516062">
          <w:marLeft w:val="360"/>
          <w:marRight w:val="0"/>
          <w:marTop w:val="200"/>
          <w:marBottom w:val="0"/>
          <w:divBdr>
            <w:top w:val="none" w:sz="0" w:space="0" w:color="auto"/>
            <w:left w:val="none" w:sz="0" w:space="0" w:color="auto"/>
            <w:bottom w:val="none" w:sz="0" w:space="0" w:color="auto"/>
            <w:right w:val="none" w:sz="0" w:space="0" w:color="auto"/>
          </w:divBdr>
        </w:div>
      </w:divsChild>
    </w:div>
    <w:div w:id="1278486882">
      <w:bodyDiv w:val="1"/>
      <w:marLeft w:val="0"/>
      <w:marRight w:val="0"/>
      <w:marTop w:val="0"/>
      <w:marBottom w:val="0"/>
      <w:divBdr>
        <w:top w:val="none" w:sz="0" w:space="0" w:color="auto"/>
        <w:left w:val="none" w:sz="0" w:space="0" w:color="auto"/>
        <w:bottom w:val="none" w:sz="0" w:space="0" w:color="auto"/>
        <w:right w:val="none" w:sz="0" w:space="0" w:color="auto"/>
      </w:divBdr>
      <w:divsChild>
        <w:div w:id="93524638">
          <w:marLeft w:val="0"/>
          <w:marRight w:val="0"/>
          <w:marTop w:val="0"/>
          <w:marBottom w:val="0"/>
          <w:divBdr>
            <w:top w:val="none" w:sz="0" w:space="0" w:color="auto"/>
            <w:left w:val="none" w:sz="0" w:space="0" w:color="auto"/>
            <w:bottom w:val="none" w:sz="0" w:space="0" w:color="auto"/>
            <w:right w:val="none" w:sz="0" w:space="0" w:color="auto"/>
          </w:divBdr>
          <w:divsChild>
            <w:div w:id="1387488850">
              <w:marLeft w:val="0"/>
              <w:marRight w:val="0"/>
              <w:marTop w:val="0"/>
              <w:marBottom w:val="0"/>
              <w:divBdr>
                <w:top w:val="none" w:sz="0" w:space="0" w:color="auto"/>
                <w:left w:val="none" w:sz="0" w:space="0" w:color="auto"/>
                <w:bottom w:val="none" w:sz="0" w:space="0" w:color="auto"/>
                <w:right w:val="none" w:sz="0" w:space="0" w:color="auto"/>
              </w:divBdr>
              <w:divsChild>
                <w:div w:id="1470978423">
                  <w:marLeft w:val="0"/>
                  <w:marRight w:val="0"/>
                  <w:marTop w:val="0"/>
                  <w:marBottom w:val="0"/>
                  <w:divBdr>
                    <w:top w:val="none" w:sz="0" w:space="0" w:color="auto"/>
                    <w:left w:val="none" w:sz="0" w:space="0" w:color="auto"/>
                    <w:bottom w:val="none" w:sz="0" w:space="0" w:color="auto"/>
                    <w:right w:val="none" w:sz="0" w:space="0" w:color="auto"/>
                  </w:divBdr>
                  <w:divsChild>
                    <w:div w:id="879821877">
                      <w:marLeft w:val="0"/>
                      <w:marRight w:val="0"/>
                      <w:marTop w:val="0"/>
                      <w:marBottom w:val="0"/>
                      <w:divBdr>
                        <w:top w:val="none" w:sz="0" w:space="0" w:color="auto"/>
                        <w:left w:val="none" w:sz="0" w:space="0" w:color="auto"/>
                        <w:bottom w:val="none" w:sz="0" w:space="0" w:color="auto"/>
                        <w:right w:val="none" w:sz="0" w:space="0" w:color="auto"/>
                      </w:divBdr>
                    </w:div>
                    <w:div w:id="21268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2990">
      <w:bodyDiv w:val="1"/>
      <w:marLeft w:val="0"/>
      <w:marRight w:val="0"/>
      <w:marTop w:val="0"/>
      <w:marBottom w:val="0"/>
      <w:divBdr>
        <w:top w:val="none" w:sz="0" w:space="0" w:color="auto"/>
        <w:left w:val="none" w:sz="0" w:space="0" w:color="auto"/>
        <w:bottom w:val="none" w:sz="0" w:space="0" w:color="auto"/>
        <w:right w:val="none" w:sz="0" w:space="0" w:color="auto"/>
      </w:divBdr>
    </w:div>
    <w:div w:id="1493181989">
      <w:bodyDiv w:val="1"/>
      <w:marLeft w:val="0"/>
      <w:marRight w:val="0"/>
      <w:marTop w:val="0"/>
      <w:marBottom w:val="0"/>
      <w:divBdr>
        <w:top w:val="none" w:sz="0" w:space="0" w:color="auto"/>
        <w:left w:val="none" w:sz="0" w:space="0" w:color="auto"/>
        <w:bottom w:val="none" w:sz="0" w:space="0" w:color="auto"/>
        <w:right w:val="none" w:sz="0" w:space="0" w:color="auto"/>
      </w:divBdr>
      <w:divsChild>
        <w:div w:id="1697076876">
          <w:marLeft w:val="547"/>
          <w:marRight w:val="0"/>
          <w:marTop w:val="0"/>
          <w:marBottom w:val="0"/>
          <w:divBdr>
            <w:top w:val="none" w:sz="0" w:space="0" w:color="auto"/>
            <w:left w:val="none" w:sz="0" w:space="0" w:color="auto"/>
            <w:bottom w:val="none" w:sz="0" w:space="0" w:color="auto"/>
            <w:right w:val="none" w:sz="0" w:space="0" w:color="auto"/>
          </w:divBdr>
        </w:div>
      </w:divsChild>
    </w:div>
    <w:div w:id="1772627869">
      <w:bodyDiv w:val="1"/>
      <w:marLeft w:val="0"/>
      <w:marRight w:val="0"/>
      <w:marTop w:val="0"/>
      <w:marBottom w:val="0"/>
      <w:divBdr>
        <w:top w:val="none" w:sz="0" w:space="0" w:color="auto"/>
        <w:left w:val="none" w:sz="0" w:space="0" w:color="auto"/>
        <w:bottom w:val="none" w:sz="0" w:space="0" w:color="auto"/>
        <w:right w:val="none" w:sz="0" w:space="0" w:color="auto"/>
      </w:divBdr>
      <w:divsChild>
        <w:div w:id="400835167">
          <w:marLeft w:val="0"/>
          <w:marRight w:val="0"/>
          <w:marTop w:val="0"/>
          <w:marBottom w:val="0"/>
          <w:divBdr>
            <w:top w:val="single" w:sz="2" w:space="0" w:color="E5E7EB"/>
            <w:left w:val="single" w:sz="2" w:space="0" w:color="E5E7EB"/>
            <w:bottom w:val="single" w:sz="2" w:space="0" w:color="E5E7EB"/>
            <w:right w:val="single" w:sz="2" w:space="0" w:color="E5E7EB"/>
          </w:divBdr>
          <w:divsChild>
            <w:div w:id="246498519">
              <w:marLeft w:val="0"/>
              <w:marRight w:val="0"/>
              <w:marTop w:val="0"/>
              <w:marBottom w:val="0"/>
              <w:divBdr>
                <w:top w:val="single" w:sz="2" w:space="0" w:color="E5E7EB"/>
                <w:left w:val="single" w:sz="2" w:space="0" w:color="E5E7EB"/>
                <w:bottom w:val="single" w:sz="2" w:space="0" w:color="E5E7EB"/>
                <w:right w:val="single" w:sz="2" w:space="0" w:color="E5E7EB"/>
              </w:divBdr>
              <w:divsChild>
                <w:div w:id="1985236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04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s.lubelskie.pl"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_rels/footnotes.xml.rels><?xml version="1.0" encoding="UTF-8" standalone="yes"?>
<Relationships xmlns="http://schemas.openxmlformats.org/package/2006/relationships"><Relationship Id="rId3" Type="http://schemas.openxmlformats.org/officeDocument/2006/relationships/hyperlink" Target="https://www.snzoz.lublin.pl/index.php?s=2&amp;l=10" TargetMode="External"/><Relationship Id="rId2" Type="http://schemas.openxmlformats.org/officeDocument/2006/relationships/hyperlink" Target="https://programyrekomendowane.pl/strony/artykuly/strategie,9" TargetMode="External"/><Relationship Id="rId1" Type="http://schemas.openxmlformats.org/officeDocument/2006/relationships/hyperlink" Target="https://programyrekomendowane.pl/strony/lista-programow-rekomendowanych,437" TargetMode="External"/><Relationship Id="rId6" Type="http://schemas.openxmlformats.org/officeDocument/2006/relationships/hyperlink" Target="https://www.uzaleznieniabehawioralne.pl/" TargetMode="External"/><Relationship Id="rId5" Type="http://schemas.openxmlformats.org/officeDocument/2006/relationships/hyperlink" Target="https://kcpu.gov.pl/wp-content/uploads/2024/11/Alkohol-czy-mozna-pic-bezpiecznie.-Sprawdz-czy-Twoje-picie-miesci-sie-w-granicach-niskiego-ryzyka-szkod-broszura.pdf" TargetMode="External"/><Relationship Id="rId4" Type="http://schemas.openxmlformats.org/officeDocument/2006/relationships/hyperlink" Target="http://www.parpa.pl/index.php/zagrozenia-zycia-publicznego/nietrzezwosc-kierowcow"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20do%20raportu%20na%20wz&#243;r.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20do%20raportu%20na%20wz&#243;r.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https://nowakuznia-my.sharepoint.com/personal/ireneusz_nowakuznia_onmicrosoft_com/Documents/Dokumenty/Badania/lubelskie/2024/Wykresy%20do%20raportu%20na%20wz&#243;r.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Arkusz5!$D$46</c:f>
              <c:strCache>
                <c:ptCount val="1"/>
                <c:pt idx="0">
                  <c:v>Jeden raz</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Arkusz5!$C$47:$C$53</c:f>
              <c:strCache>
                <c:ptCount val="7"/>
                <c:pt idx="0">
                  <c:v>Bimber</c:v>
                </c:pt>
                <c:pt idx="1">
                  <c:v>Wódka</c:v>
                </c:pt>
                <c:pt idx="2">
                  <c:v>Miód Pitny</c:v>
                </c:pt>
                <c:pt idx="3">
                  <c:v>Wino</c:v>
                </c:pt>
                <c:pt idx="4">
                  <c:v>Piwo</c:v>
                </c:pt>
                <c:pt idx="5">
                  <c:v>Cydr</c:v>
                </c:pt>
                <c:pt idx="6">
                  <c:v>Alcopop</c:v>
                </c:pt>
              </c:strCache>
            </c:strRef>
          </c:cat>
          <c:val>
            <c:numRef>
              <c:f>Arkusz5!$D$47:$D$53</c:f>
              <c:numCache>
                <c:formatCode>General</c:formatCode>
                <c:ptCount val="7"/>
                <c:pt idx="0">
                  <c:v>4</c:v>
                </c:pt>
                <c:pt idx="1">
                  <c:v>8</c:v>
                </c:pt>
                <c:pt idx="2">
                  <c:v>1.5</c:v>
                </c:pt>
                <c:pt idx="3">
                  <c:v>7.9</c:v>
                </c:pt>
                <c:pt idx="4">
                  <c:v>3.4</c:v>
                </c:pt>
              </c:numCache>
            </c:numRef>
          </c:val>
          <c:extLst>
            <c:ext xmlns:c16="http://schemas.microsoft.com/office/drawing/2014/chart" uri="{C3380CC4-5D6E-409C-BE32-E72D297353CC}">
              <c16:uniqueId val="{00000000-0D24-46BA-A4F3-89BD3E9E4B67}"/>
            </c:ext>
          </c:extLst>
        </c:ser>
        <c:ser>
          <c:idx val="1"/>
          <c:order val="1"/>
          <c:tx>
            <c:strRef>
              <c:f>Arkusz5!$E$46</c:f>
              <c:strCache>
                <c:ptCount val="1"/>
                <c:pt idx="0">
                  <c:v>Od 2 do 4 razy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Arkusz5!$C$47:$C$53</c:f>
              <c:strCache>
                <c:ptCount val="7"/>
                <c:pt idx="0">
                  <c:v>Bimber</c:v>
                </c:pt>
                <c:pt idx="1">
                  <c:v>Wódka</c:v>
                </c:pt>
                <c:pt idx="2">
                  <c:v>Miód Pitny</c:v>
                </c:pt>
                <c:pt idx="3">
                  <c:v>Wino</c:v>
                </c:pt>
                <c:pt idx="4">
                  <c:v>Piwo</c:v>
                </c:pt>
                <c:pt idx="5">
                  <c:v>Cydr</c:v>
                </c:pt>
                <c:pt idx="6">
                  <c:v>Alcopop</c:v>
                </c:pt>
              </c:strCache>
            </c:strRef>
          </c:cat>
          <c:val>
            <c:numRef>
              <c:f>Arkusz5!$E$47:$E$53</c:f>
              <c:numCache>
                <c:formatCode>General</c:formatCode>
                <c:ptCount val="7"/>
                <c:pt idx="0">
                  <c:v>6.1</c:v>
                </c:pt>
                <c:pt idx="1">
                  <c:v>12.1</c:v>
                </c:pt>
                <c:pt idx="2">
                  <c:v>2.6</c:v>
                </c:pt>
                <c:pt idx="3">
                  <c:v>18</c:v>
                </c:pt>
                <c:pt idx="4">
                  <c:v>28</c:v>
                </c:pt>
                <c:pt idx="5">
                  <c:v>4.5999999999999996</c:v>
                </c:pt>
                <c:pt idx="6">
                  <c:v>4</c:v>
                </c:pt>
              </c:numCache>
            </c:numRef>
          </c:val>
          <c:extLst>
            <c:ext xmlns:c16="http://schemas.microsoft.com/office/drawing/2014/chart" uri="{C3380CC4-5D6E-409C-BE32-E72D297353CC}">
              <c16:uniqueId val="{00000001-0D24-46BA-A4F3-89BD3E9E4B67}"/>
            </c:ext>
          </c:extLst>
        </c:ser>
        <c:ser>
          <c:idx val="2"/>
          <c:order val="2"/>
          <c:tx>
            <c:strRef>
              <c:f>Arkusz5!$F$46</c:f>
              <c:strCache>
                <c:ptCount val="1"/>
                <c:pt idx="0">
                  <c:v>Od 5 do 10 razy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Arkusz5!$C$47:$C$53</c:f>
              <c:strCache>
                <c:ptCount val="7"/>
                <c:pt idx="0">
                  <c:v>Bimber</c:v>
                </c:pt>
                <c:pt idx="1">
                  <c:v>Wódka</c:v>
                </c:pt>
                <c:pt idx="2">
                  <c:v>Miód Pitny</c:v>
                </c:pt>
                <c:pt idx="3">
                  <c:v>Wino</c:v>
                </c:pt>
                <c:pt idx="4">
                  <c:v>Piwo</c:v>
                </c:pt>
                <c:pt idx="5">
                  <c:v>Cydr</c:v>
                </c:pt>
                <c:pt idx="6">
                  <c:v>Alcopop</c:v>
                </c:pt>
              </c:strCache>
            </c:strRef>
          </c:cat>
          <c:val>
            <c:numRef>
              <c:f>Arkusz5!$F$47:$F$53</c:f>
              <c:numCache>
                <c:formatCode>General</c:formatCode>
                <c:ptCount val="7"/>
                <c:pt idx="1">
                  <c:v>13</c:v>
                </c:pt>
                <c:pt idx="2">
                  <c:v>2</c:v>
                </c:pt>
                <c:pt idx="3">
                  <c:v>16.3</c:v>
                </c:pt>
                <c:pt idx="4">
                  <c:v>33.5</c:v>
                </c:pt>
                <c:pt idx="5">
                  <c:v>9.7000000000000011</c:v>
                </c:pt>
                <c:pt idx="6">
                  <c:v>3</c:v>
                </c:pt>
              </c:numCache>
            </c:numRef>
          </c:val>
          <c:extLst>
            <c:ext xmlns:c16="http://schemas.microsoft.com/office/drawing/2014/chart" uri="{C3380CC4-5D6E-409C-BE32-E72D297353CC}">
              <c16:uniqueId val="{00000002-0D24-46BA-A4F3-89BD3E9E4B67}"/>
            </c:ext>
          </c:extLst>
        </c:ser>
        <c:ser>
          <c:idx val="3"/>
          <c:order val="3"/>
          <c:tx>
            <c:strRef>
              <c:f>Arkusz5!$G$46</c:f>
              <c:strCache>
                <c:ptCount val="1"/>
                <c:pt idx="0">
                  <c:v>Od 11 do 20 razy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Arkusz5!$C$47:$C$53</c:f>
              <c:strCache>
                <c:ptCount val="7"/>
                <c:pt idx="0">
                  <c:v>Bimber</c:v>
                </c:pt>
                <c:pt idx="1">
                  <c:v>Wódka</c:v>
                </c:pt>
                <c:pt idx="2">
                  <c:v>Miód Pitny</c:v>
                </c:pt>
                <c:pt idx="3">
                  <c:v>Wino</c:v>
                </c:pt>
                <c:pt idx="4">
                  <c:v>Piwo</c:v>
                </c:pt>
                <c:pt idx="5">
                  <c:v>Cydr</c:v>
                </c:pt>
                <c:pt idx="6">
                  <c:v>Alcopop</c:v>
                </c:pt>
              </c:strCache>
            </c:strRef>
          </c:cat>
          <c:val>
            <c:numRef>
              <c:f>Arkusz5!$G$47:$G$53</c:f>
              <c:numCache>
                <c:formatCode>General</c:formatCode>
                <c:ptCount val="7"/>
                <c:pt idx="1">
                  <c:v>3.3</c:v>
                </c:pt>
                <c:pt idx="2">
                  <c:v>1.1000000000000001</c:v>
                </c:pt>
                <c:pt idx="3">
                  <c:v>6</c:v>
                </c:pt>
                <c:pt idx="4">
                  <c:v>18.899999999999999</c:v>
                </c:pt>
                <c:pt idx="5">
                  <c:v>1.2</c:v>
                </c:pt>
                <c:pt idx="6">
                  <c:v>2</c:v>
                </c:pt>
              </c:numCache>
            </c:numRef>
          </c:val>
          <c:extLst>
            <c:ext xmlns:c16="http://schemas.microsoft.com/office/drawing/2014/chart" uri="{C3380CC4-5D6E-409C-BE32-E72D297353CC}">
              <c16:uniqueId val="{00000003-0D24-46BA-A4F3-89BD3E9E4B67}"/>
            </c:ext>
          </c:extLst>
        </c:ser>
        <c:ser>
          <c:idx val="4"/>
          <c:order val="4"/>
          <c:tx>
            <c:strRef>
              <c:f>Arkusz5!$H$46</c:f>
              <c:strCache>
                <c:ptCount val="1"/>
                <c:pt idx="0">
                  <c:v>Codziennie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Arkusz5!$C$47:$C$53</c:f>
              <c:strCache>
                <c:ptCount val="7"/>
                <c:pt idx="0">
                  <c:v>Bimber</c:v>
                </c:pt>
                <c:pt idx="1">
                  <c:v>Wódka</c:v>
                </c:pt>
                <c:pt idx="2">
                  <c:v>Miód Pitny</c:v>
                </c:pt>
                <c:pt idx="3">
                  <c:v>Wino</c:v>
                </c:pt>
                <c:pt idx="4">
                  <c:v>Piwo</c:v>
                </c:pt>
                <c:pt idx="5">
                  <c:v>Cydr</c:v>
                </c:pt>
                <c:pt idx="6">
                  <c:v>Alcopop</c:v>
                </c:pt>
              </c:strCache>
            </c:strRef>
          </c:cat>
          <c:val>
            <c:numRef>
              <c:f>Arkusz5!$H$47:$H$53</c:f>
              <c:numCache>
                <c:formatCode>General</c:formatCode>
                <c:ptCount val="7"/>
                <c:pt idx="1">
                  <c:v>0.5</c:v>
                </c:pt>
                <c:pt idx="3">
                  <c:v>1.1000000000000001</c:v>
                </c:pt>
                <c:pt idx="4">
                  <c:v>6.4</c:v>
                </c:pt>
              </c:numCache>
            </c:numRef>
          </c:val>
          <c:extLst>
            <c:ext xmlns:c16="http://schemas.microsoft.com/office/drawing/2014/chart" uri="{C3380CC4-5D6E-409C-BE32-E72D297353CC}">
              <c16:uniqueId val="{00000004-0D24-46BA-A4F3-89BD3E9E4B67}"/>
            </c:ext>
          </c:extLst>
        </c:ser>
        <c:dLbls>
          <c:showLegendKey val="0"/>
          <c:showVal val="1"/>
          <c:showCatName val="0"/>
          <c:showSerName val="0"/>
          <c:showPercent val="0"/>
          <c:showBubbleSize val="0"/>
        </c:dLbls>
        <c:gapWidth val="219"/>
        <c:overlap val="-27"/>
        <c:axId val="80220160"/>
        <c:axId val="80223616"/>
      </c:barChart>
      <c:catAx>
        <c:axId val="8022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0223616"/>
        <c:crosses val="autoZero"/>
        <c:auto val="1"/>
        <c:lblAlgn val="ctr"/>
        <c:lblOffset val="100"/>
        <c:noMultiLvlLbl val="0"/>
      </c:catAx>
      <c:valAx>
        <c:axId val="8022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022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Arkusz1!$B$124</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Arkusz1!$A$125:$A$128</c:f>
              <c:strCache>
                <c:ptCount val="4"/>
                <c:pt idx="0">
                  <c:v>zawsze w samotności</c:v>
                </c:pt>
                <c:pt idx="1">
                  <c:v>najczęściej w samotności</c:v>
                </c:pt>
                <c:pt idx="2">
                  <c:v>najczęściej w obecności innych osób</c:v>
                </c:pt>
                <c:pt idx="3">
                  <c:v>zawsze w obecności innych osób </c:v>
                </c:pt>
              </c:strCache>
            </c:strRef>
          </c:cat>
          <c:val>
            <c:numRef>
              <c:f>Arkusz1!$B$125:$B$128</c:f>
              <c:numCache>
                <c:formatCode>0.00</c:formatCode>
                <c:ptCount val="4"/>
                <c:pt idx="0">
                  <c:v>3.3</c:v>
                </c:pt>
                <c:pt idx="1">
                  <c:v>11</c:v>
                </c:pt>
                <c:pt idx="2">
                  <c:v>51</c:v>
                </c:pt>
                <c:pt idx="3">
                  <c:v>35</c:v>
                </c:pt>
              </c:numCache>
            </c:numRef>
          </c:val>
          <c:extLst>
            <c:ext xmlns:c16="http://schemas.microsoft.com/office/drawing/2014/chart" uri="{C3380CC4-5D6E-409C-BE32-E72D297353CC}">
              <c16:uniqueId val="{00000000-76CE-4681-B6F6-F8CF11458336}"/>
            </c:ext>
          </c:extLst>
        </c:ser>
        <c:ser>
          <c:idx val="1"/>
          <c:order val="1"/>
          <c:tx>
            <c:strRef>
              <c:f>Arkusz1!$C$124</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Arkusz1!$A$125:$A$128</c:f>
              <c:strCache>
                <c:ptCount val="4"/>
                <c:pt idx="0">
                  <c:v>zawsze w samotności</c:v>
                </c:pt>
                <c:pt idx="1">
                  <c:v>najczęściej w samotności</c:v>
                </c:pt>
                <c:pt idx="2">
                  <c:v>najczęściej w obecności innych osób</c:v>
                </c:pt>
                <c:pt idx="3">
                  <c:v>zawsze w obecności innych osób </c:v>
                </c:pt>
              </c:strCache>
            </c:strRef>
          </c:cat>
          <c:val>
            <c:numRef>
              <c:f>Arkusz1!$C$125:$C$128</c:f>
              <c:numCache>
                <c:formatCode>0.00</c:formatCode>
                <c:ptCount val="4"/>
                <c:pt idx="0">
                  <c:v>6.8</c:v>
                </c:pt>
                <c:pt idx="1">
                  <c:v>18.8</c:v>
                </c:pt>
                <c:pt idx="2">
                  <c:v>55</c:v>
                </c:pt>
                <c:pt idx="3">
                  <c:v>19.399999999999999</c:v>
                </c:pt>
              </c:numCache>
            </c:numRef>
          </c:val>
          <c:extLst>
            <c:ext xmlns:c16="http://schemas.microsoft.com/office/drawing/2014/chart" uri="{C3380CC4-5D6E-409C-BE32-E72D297353CC}">
              <c16:uniqueId val="{00000001-76CE-4681-B6F6-F8CF11458336}"/>
            </c:ext>
          </c:extLst>
        </c:ser>
        <c:dLbls>
          <c:showLegendKey val="0"/>
          <c:showVal val="1"/>
          <c:showCatName val="0"/>
          <c:showSerName val="0"/>
          <c:showPercent val="0"/>
          <c:showBubbleSize val="0"/>
        </c:dLbls>
        <c:gapWidth val="219"/>
        <c:overlap val="-27"/>
        <c:axId val="160562560"/>
        <c:axId val="160572544"/>
      </c:barChart>
      <c:catAx>
        <c:axId val="16056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572544"/>
        <c:crosses val="autoZero"/>
        <c:auto val="1"/>
        <c:lblAlgn val="ctr"/>
        <c:lblOffset val="100"/>
        <c:noMultiLvlLbl val="0"/>
      </c:catAx>
      <c:valAx>
        <c:axId val="160572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56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tx>
            <c:strRef>
              <c:f>Arkusz1!$A$198</c:f>
              <c:strCache>
                <c:ptCount val="1"/>
                <c:pt idx="0">
                  <c:v>w życiu</c:v>
                </c:pt>
              </c:strCache>
            </c:strRef>
          </c:tx>
          <c:spPr>
            <a:ln cmpd="sng">
              <a:solidFill>
                <a:srgbClr val="4285F4"/>
              </a:solidFill>
            </a:ln>
          </c:spPr>
          <c:marker>
            <c:symbol val="none"/>
          </c:marker>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Arkusz1!$B$197:$G$197</c:f>
              <c:strCache>
                <c:ptCount val="6"/>
                <c:pt idx="0">
                  <c:v>1-2 razy</c:v>
                </c:pt>
                <c:pt idx="1">
                  <c:v>3-5 razy</c:v>
                </c:pt>
                <c:pt idx="2">
                  <c:v>6-9 razy</c:v>
                </c:pt>
                <c:pt idx="3">
                  <c:v>10-19 razy</c:v>
                </c:pt>
                <c:pt idx="4">
                  <c:v>20-39 razy</c:v>
                </c:pt>
                <c:pt idx="5">
                  <c:v>40 i więcej</c:v>
                </c:pt>
              </c:strCache>
            </c:strRef>
          </c:cat>
          <c:val>
            <c:numRef>
              <c:f>Arkusz1!$B$198:$G$198</c:f>
              <c:numCache>
                <c:formatCode>General</c:formatCode>
                <c:ptCount val="6"/>
                <c:pt idx="0">
                  <c:v>41</c:v>
                </c:pt>
                <c:pt idx="1">
                  <c:v>15</c:v>
                </c:pt>
                <c:pt idx="2">
                  <c:v>14</c:v>
                </c:pt>
                <c:pt idx="3">
                  <c:v>12</c:v>
                </c:pt>
                <c:pt idx="4">
                  <c:v>8</c:v>
                </c:pt>
                <c:pt idx="5">
                  <c:v>4</c:v>
                </c:pt>
              </c:numCache>
            </c:numRef>
          </c:val>
          <c:smooth val="0"/>
          <c:extLst>
            <c:ext xmlns:c16="http://schemas.microsoft.com/office/drawing/2014/chart" uri="{C3380CC4-5D6E-409C-BE32-E72D297353CC}">
              <c16:uniqueId val="{00000000-643A-4616-93D4-70F48A6F59ED}"/>
            </c:ext>
          </c:extLst>
        </c:ser>
        <c:ser>
          <c:idx val="1"/>
          <c:order val="1"/>
          <c:tx>
            <c:strRef>
              <c:f>Arkusz1!$A$199</c:f>
              <c:strCache>
                <c:ptCount val="1"/>
                <c:pt idx="0">
                  <c:v>w ciągu ostatnich 12 miesięcy</c:v>
                </c:pt>
              </c:strCache>
            </c:strRef>
          </c:tx>
          <c:spPr>
            <a:ln cmpd="sng">
              <a:solidFill>
                <a:srgbClr val="EA4335"/>
              </a:solidFill>
            </a:ln>
          </c:spPr>
          <c:marker>
            <c:symbol val="none"/>
          </c:marker>
          <c:dLbls>
            <c:dLbl>
              <c:idx val="2"/>
              <c:layout>
                <c:manualLayout>
                  <c:x val="-1.9882492106668967E-2"/>
                  <c:y val="6.662966184659654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3A-4616-93D4-70F48A6F59ED}"/>
                </c:ext>
              </c:extLst>
            </c:dLbl>
            <c:dLbl>
              <c:idx val="4"/>
              <c:layout>
                <c:manualLayout>
                  <c:x val="-1.9882492106668967E-2"/>
                  <c:y val="9.994449276989374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3A-4616-93D4-70F48A6F59ED}"/>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Arkusz1!$B$197:$G$197</c:f>
              <c:strCache>
                <c:ptCount val="6"/>
                <c:pt idx="0">
                  <c:v>1-2 razy</c:v>
                </c:pt>
                <c:pt idx="1">
                  <c:v>3-5 razy</c:v>
                </c:pt>
                <c:pt idx="2">
                  <c:v>6-9 razy</c:v>
                </c:pt>
                <c:pt idx="3">
                  <c:v>10-19 razy</c:v>
                </c:pt>
                <c:pt idx="4">
                  <c:v>20-39 razy</c:v>
                </c:pt>
                <c:pt idx="5">
                  <c:v>40 i więcej</c:v>
                </c:pt>
              </c:strCache>
            </c:strRef>
          </c:cat>
          <c:val>
            <c:numRef>
              <c:f>Arkusz1!$B$199:$G$199</c:f>
              <c:numCache>
                <c:formatCode>General</c:formatCode>
                <c:ptCount val="6"/>
                <c:pt idx="0">
                  <c:v>33</c:v>
                </c:pt>
                <c:pt idx="1">
                  <c:v>12</c:v>
                </c:pt>
                <c:pt idx="2">
                  <c:v>5</c:v>
                </c:pt>
                <c:pt idx="3">
                  <c:v>4</c:v>
                </c:pt>
                <c:pt idx="4">
                  <c:v>3</c:v>
                </c:pt>
                <c:pt idx="5">
                  <c:v>1.5</c:v>
                </c:pt>
              </c:numCache>
            </c:numRef>
          </c:val>
          <c:smooth val="0"/>
          <c:extLst>
            <c:ext xmlns:c16="http://schemas.microsoft.com/office/drawing/2014/chart" uri="{C3380CC4-5D6E-409C-BE32-E72D297353CC}">
              <c16:uniqueId val="{00000003-643A-4616-93D4-70F48A6F59ED}"/>
            </c:ext>
          </c:extLst>
        </c:ser>
        <c:ser>
          <c:idx val="2"/>
          <c:order val="2"/>
          <c:tx>
            <c:strRef>
              <c:f>Arkusz1!$A$200</c:f>
              <c:strCache>
                <c:ptCount val="1"/>
                <c:pt idx="0">
                  <c:v>w ciągu ostatnich 30 dni </c:v>
                </c:pt>
              </c:strCache>
            </c:strRef>
          </c:tx>
          <c:spPr>
            <a:ln cmpd="sng">
              <a:solidFill>
                <a:srgbClr val="FBBC04"/>
              </a:solidFill>
            </a:ln>
          </c:spPr>
          <c:marker>
            <c:symbol val="none"/>
          </c:marker>
          <c:dLbls>
            <c:dLbl>
              <c:idx val="1"/>
              <c:layout>
                <c:manualLayout>
                  <c:x val="-2.4782609842177825E-2"/>
                  <c:y val="1.6657415461649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3A-4616-93D4-70F48A6F59ED}"/>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Arkusz1!$B$197:$G$197</c:f>
              <c:strCache>
                <c:ptCount val="6"/>
                <c:pt idx="0">
                  <c:v>1-2 razy</c:v>
                </c:pt>
                <c:pt idx="1">
                  <c:v>3-5 razy</c:v>
                </c:pt>
                <c:pt idx="2">
                  <c:v>6-9 razy</c:v>
                </c:pt>
                <c:pt idx="3">
                  <c:v>10-19 razy</c:v>
                </c:pt>
                <c:pt idx="4">
                  <c:v>20-39 razy</c:v>
                </c:pt>
                <c:pt idx="5">
                  <c:v>40 i więcej</c:v>
                </c:pt>
              </c:strCache>
            </c:strRef>
          </c:cat>
          <c:val>
            <c:numRef>
              <c:f>Arkusz1!$B$200:$G$200</c:f>
              <c:numCache>
                <c:formatCode>General</c:formatCode>
                <c:ptCount val="6"/>
                <c:pt idx="0">
                  <c:v>12</c:v>
                </c:pt>
                <c:pt idx="1">
                  <c:v>11</c:v>
                </c:pt>
                <c:pt idx="2">
                  <c:v>3</c:v>
                </c:pt>
                <c:pt idx="3">
                  <c:v>1</c:v>
                </c:pt>
                <c:pt idx="4">
                  <c:v>0.30000000000000021</c:v>
                </c:pt>
                <c:pt idx="5">
                  <c:v>0</c:v>
                </c:pt>
              </c:numCache>
            </c:numRef>
          </c:val>
          <c:smooth val="0"/>
          <c:extLst>
            <c:ext xmlns:c16="http://schemas.microsoft.com/office/drawing/2014/chart" uri="{C3380CC4-5D6E-409C-BE32-E72D297353CC}">
              <c16:uniqueId val="{00000005-643A-4616-93D4-70F48A6F59ED}"/>
            </c:ext>
          </c:extLst>
        </c:ser>
        <c:dLbls>
          <c:showLegendKey val="0"/>
          <c:showVal val="1"/>
          <c:showCatName val="0"/>
          <c:showSerName val="0"/>
          <c:showPercent val="0"/>
          <c:showBubbleSize val="0"/>
        </c:dLbls>
        <c:smooth val="0"/>
        <c:axId val="160604928"/>
        <c:axId val="160606848"/>
      </c:lineChart>
      <c:catAx>
        <c:axId val="160604928"/>
        <c:scaling>
          <c:orientation val="minMax"/>
        </c:scaling>
        <c:delete val="0"/>
        <c:axPos val="b"/>
        <c:title>
          <c:tx>
            <c:rich>
              <a:bodyPr/>
              <a:lstStyle/>
              <a:p>
                <a:pPr lvl="0">
                  <a:defRPr b="0">
                    <a:solidFill>
                      <a:srgbClr val="000000"/>
                    </a:solidFill>
                    <a:latin typeface="+mn-lt"/>
                  </a:defRPr>
                </a:pPr>
                <a:endParaRPr lang="pl-PL"/>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pl-PL"/>
          </a:p>
        </c:txPr>
        <c:crossAx val="160606848"/>
        <c:crosses val="autoZero"/>
        <c:auto val="1"/>
        <c:lblAlgn val="ctr"/>
        <c:lblOffset val="100"/>
        <c:noMultiLvlLbl val="1"/>
      </c:catAx>
      <c:valAx>
        <c:axId val="160606848"/>
        <c:scaling>
          <c:orientation val="minMax"/>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endParaRPr lang="pl-PL"/>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l-PL"/>
          </a:p>
        </c:txPr>
        <c:crossAx val="160604928"/>
        <c:crosses val="autoZero"/>
        <c:crossBetween val="between"/>
      </c:valAx>
    </c:plotArea>
    <c:legend>
      <c:legendPos val="b"/>
      <c:overlay val="0"/>
      <c:txPr>
        <a:bodyPr/>
        <a:lstStyle/>
        <a:p>
          <a:pPr lvl="0">
            <a:defRPr b="0">
              <a:solidFill>
                <a:srgbClr val="1A1A1A"/>
              </a:solidFill>
              <a:latin typeface="+mn-lt"/>
            </a:defRPr>
          </a:pPr>
          <a:endParaRPr lang="pl-PL"/>
        </a:p>
      </c:txPr>
    </c:legend>
    <c:plotVisOnly val="1"/>
    <c:dispBlanksAs val="zero"/>
    <c:showDLblsOverMax val="1"/>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40353585398882"/>
          <c:y val="4.3792195552992123E-2"/>
          <c:w val="0.83818653521612008"/>
          <c:h val="0.68158266785079547"/>
        </c:manualLayout>
      </c:layout>
      <c:barChart>
        <c:barDir val="col"/>
        <c:grouping val="clustered"/>
        <c:varyColors val="1"/>
        <c:ser>
          <c:idx val="0"/>
          <c:order val="0"/>
          <c:tx>
            <c:strRef>
              <c:f>Arkusz1!$B$77:$B$78</c:f>
              <c:strCache>
                <c:ptCount val="2"/>
                <c:pt idx="0">
                  <c:v>Używanie -</c:v>
                </c:pt>
                <c:pt idx="1">
                  <c:v>Kiedykolwiek w życiu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Arkusz1!$A$79:$A$89</c:f>
              <c:strCache>
                <c:ptCount val="11"/>
                <c:pt idx="0">
                  <c:v>Dopalacze</c:v>
                </c:pt>
                <c:pt idx="1">
                  <c:v>Amfetamina</c:v>
                </c:pt>
                <c:pt idx="2">
                  <c:v>Ecstazy</c:v>
                </c:pt>
                <c:pt idx="3">
                  <c:v>LSD / halucynogeny</c:v>
                </c:pt>
                <c:pt idx="4">
                  <c:v>Crack</c:v>
                </c:pt>
                <c:pt idx="5">
                  <c:v>Kokaina</c:v>
                </c:pt>
                <c:pt idx="6">
                  <c:v>Heroina</c:v>
                </c:pt>
                <c:pt idx="7">
                  <c:v>Grzyby halucynogenne</c:v>
                </c:pt>
                <c:pt idx="8">
                  <c:v>GHB</c:v>
                </c:pt>
                <c:pt idx="9">
                  <c:v>Narkotyki za pomocą igły lub strzykawki</c:v>
                </c:pt>
                <c:pt idx="10">
                  <c:v>Sterydy</c:v>
                </c:pt>
              </c:strCache>
            </c:strRef>
          </c:cat>
          <c:val>
            <c:numRef>
              <c:f>Arkusz1!$B$79:$B$89</c:f>
              <c:numCache>
                <c:formatCode>General</c:formatCode>
                <c:ptCount val="11"/>
                <c:pt idx="0">
                  <c:v>4.3</c:v>
                </c:pt>
                <c:pt idx="1">
                  <c:v>2.9</c:v>
                </c:pt>
                <c:pt idx="2">
                  <c:v>2.8</c:v>
                </c:pt>
                <c:pt idx="3">
                  <c:v>5.9</c:v>
                </c:pt>
                <c:pt idx="4">
                  <c:v>2.1</c:v>
                </c:pt>
                <c:pt idx="5">
                  <c:v>2.1</c:v>
                </c:pt>
                <c:pt idx="6">
                  <c:v>2.5</c:v>
                </c:pt>
                <c:pt idx="7">
                  <c:v>1.6</c:v>
                </c:pt>
                <c:pt idx="8">
                  <c:v>2.4</c:v>
                </c:pt>
                <c:pt idx="9">
                  <c:v>2.8</c:v>
                </c:pt>
                <c:pt idx="10">
                  <c:v>3.8</c:v>
                </c:pt>
              </c:numCache>
            </c:numRef>
          </c:val>
          <c:extLst>
            <c:ext xmlns:c16="http://schemas.microsoft.com/office/drawing/2014/chart" uri="{C3380CC4-5D6E-409C-BE32-E72D297353CC}">
              <c16:uniqueId val="{00000000-0855-4EED-9892-296F7149E297}"/>
            </c:ext>
          </c:extLst>
        </c:ser>
        <c:ser>
          <c:idx val="1"/>
          <c:order val="1"/>
          <c:tx>
            <c:strRef>
              <c:f>Arkusz1!$C$77:$C$78</c:f>
              <c:strCache>
                <c:ptCount val="2"/>
                <c:pt idx="0">
                  <c:v>Używanie -</c:v>
                </c:pt>
                <c:pt idx="1">
                  <c:v>W ciągu 12 miesięcy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Arkusz1!$A$79:$A$89</c:f>
              <c:strCache>
                <c:ptCount val="11"/>
                <c:pt idx="0">
                  <c:v>Dopalacze</c:v>
                </c:pt>
                <c:pt idx="1">
                  <c:v>Amfetamina</c:v>
                </c:pt>
                <c:pt idx="2">
                  <c:v>Ecstazy</c:v>
                </c:pt>
                <c:pt idx="3">
                  <c:v>LSD / halucynogeny</c:v>
                </c:pt>
                <c:pt idx="4">
                  <c:v>Crack</c:v>
                </c:pt>
                <c:pt idx="5">
                  <c:v>Kokaina</c:v>
                </c:pt>
                <c:pt idx="6">
                  <c:v>Heroina</c:v>
                </c:pt>
                <c:pt idx="7">
                  <c:v>Grzyby halucynogenne</c:v>
                </c:pt>
                <c:pt idx="8">
                  <c:v>GHB</c:v>
                </c:pt>
                <c:pt idx="9">
                  <c:v>Narkotyki za pomocą igły lub strzykawki</c:v>
                </c:pt>
                <c:pt idx="10">
                  <c:v>Sterydy</c:v>
                </c:pt>
              </c:strCache>
            </c:strRef>
          </c:cat>
          <c:val>
            <c:numRef>
              <c:f>Arkusz1!$C$79:$C$89</c:f>
              <c:numCache>
                <c:formatCode>General</c:formatCode>
                <c:ptCount val="11"/>
                <c:pt idx="0">
                  <c:v>2.9</c:v>
                </c:pt>
                <c:pt idx="1">
                  <c:v>2.1</c:v>
                </c:pt>
                <c:pt idx="2">
                  <c:v>2.2000000000000002</c:v>
                </c:pt>
                <c:pt idx="3">
                  <c:v>3.5</c:v>
                </c:pt>
                <c:pt idx="4">
                  <c:v>1.3</c:v>
                </c:pt>
                <c:pt idx="5">
                  <c:v>2</c:v>
                </c:pt>
                <c:pt idx="6">
                  <c:v>2.2000000000000002</c:v>
                </c:pt>
                <c:pt idx="7">
                  <c:v>1.5</c:v>
                </c:pt>
                <c:pt idx="8">
                  <c:v>0.9</c:v>
                </c:pt>
                <c:pt idx="9">
                  <c:v>1</c:v>
                </c:pt>
                <c:pt idx="10">
                  <c:v>2.2999999999999998</c:v>
                </c:pt>
              </c:numCache>
            </c:numRef>
          </c:val>
          <c:extLst>
            <c:ext xmlns:c16="http://schemas.microsoft.com/office/drawing/2014/chart" uri="{C3380CC4-5D6E-409C-BE32-E72D297353CC}">
              <c16:uniqueId val="{00000001-0855-4EED-9892-296F7149E297}"/>
            </c:ext>
          </c:extLst>
        </c:ser>
        <c:ser>
          <c:idx val="2"/>
          <c:order val="2"/>
          <c:tx>
            <c:strRef>
              <c:f>Arkusz1!$D$77:$D$78</c:f>
              <c:strCache>
                <c:ptCount val="2"/>
                <c:pt idx="0">
                  <c:v>Używanie -</c:v>
                </c:pt>
                <c:pt idx="1">
                  <c:v>W ciągu 30 dni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Arkusz1!$A$79:$A$89</c:f>
              <c:strCache>
                <c:ptCount val="11"/>
                <c:pt idx="0">
                  <c:v>Dopalacze</c:v>
                </c:pt>
                <c:pt idx="1">
                  <c:v>Amfetamina</c:v>
                </c:pt>
                <c:pt idx="2">
                  <c:v>Ecstazy</c:v>
                </c:pt>
                <c:pt idx="3">
                  <c:v>LSD / halucynogeny</c:v>
                </c:pt>
                <c:pt idx="4">
                  <c:v>Crack</c:v>
                </c:pt>
                <c:pt idx="5">
                  <c:v>Kokaina</c:v>
                </c:pt>
                <c:pt idx="6">
                  <c:v>Heroina</c:v>
                </c:pt>
                <c:pt idx="7">
                  <c:v>Grzyby halucynogenne</c:v>
                </c:pt>
                <c:pt idx="8">
                  <c:v>GHB</c:v>
                </c:pt>
                <c:pt idx="9">
                  <c:v>Narkotyki za pomocą igły lub strzykawki</c:v>
                </c:pt>
                <c:pt idx="10">
                  <c:v>Sterydy</c:v>
                </c:pt>
              </c:strCache>
            </c:strRef>
          </c:cat>
          <c:val>
            <c:numRef>
              <c:f>Arkusz1!$D$79:$D$89</c:f>
              <c:numCache>
                <c:formatCode>General</c:formatCode>
                <c:ptCount val="11"/>
                <c:pt idx="0">
                  <c:v>1.6</c:v>
                </c:pt>
                <c:pt idx="1">
                  <c:v>2</c:v>
                </c:pt>
                <c:pt idx="2">
                  <c:v>1.9000000000000001</c:v>
                </c:pt>
                <c:pt idx="3">
                  <c:v>2.9</c:v>
                </c:pt>
                <c:pt idx="4">
                  <c:v>0.7000000000000004</c:v>
                </c:pt>
                <c:pt idx="5">
                  <c:v>1.2</c:v>
                </c:pt>
                <c:pt idx="6">
                  <c:v>1.5</c:v>
                </c:pt>
                <c:pt idx="7">
                  <c:v>1</c:v>
                </c:pt>
                <c:pt idx="8">
                  <c:v>0.2</c:v>
                </c:pt>
                <c:pt idx="9">
                  <c:v>0.2</c:v>
                </c:pt>
                <c:pt idx="10">
                  <c:v>2</c:v>
                </c:pt>
              </c:numCache>
            </c:numRef>
          </c:val>
          <c:extLst>
            <c:ext xmlns:c16="http://schemas.microsoft.com/office/drawing/2014/chart" uri="{C3380CC4-5D6E-409C-BE32-E72D297353CC}">
              <c16:uniqueId val="{00000002-0855-4EED-9892-296F7149E297}"/>
            </c:ext>
          </c:extLst>
        </c:ser>
        <c:dLbls>
          <c:showLegendKey val="0"/>
          <c:showVal val="1"/>
          <c:showCatName val="0"/>
          <c:showSerName val="0"/>
          <c:showPercent val="0"/>
          <c:showBubbleSize val="0"/>
        </c:dLbls>
        <c:gapWidth val="100"/>
        <c:overlap val="-24"/>
        <c:axId val="160678656"/>
        <c:axId val="160680576"/>
      </c:barChart>
      <c:catAx>
        <c:axId val="1606786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pl-PL"/>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60680576"/>
        <c:crosses val="autoZero"/>
        <c:auto val="1"/>
        <c:lblAlgn val="ctr"/>
        <c:lblOffset val="100"/>
        <c:noMultiLvlLbl val="1"/>
      </c:catAx>
      <c:valAx>
        <c:axId val="1606805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pl-PL"/>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6067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zero"/>
    <c:showDLblsOverMax val="1"/>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Arkusz1!$H$92</c:f>
              <c:strCache>
                <c:ptCount val="1"/>
                <c:pt idx="0">
                  <c:v>Kiedykolwiek w życiu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Arkusz1!$G$93:$G$99</c:f>
              <c:strCache>
                <c:ptCount val="7"/>
                <c:pt idx="0">
                  <c:v>Benzodiazepiny</c:v>
                </c:pt>
                <c:pt idx="1">
                  <c:v>Dezmorfina</c:v>
                </c:pt>
                <c:pt idx="2">
                  <c:v>Fentanyl</c:v>
                </c:pt>
                <c:pt idx="3">
                  <c:v>Kodeina</c:v>
                </c:pt>
                <c:pt idx="4">
                  <c:v>Mefedron</c:v>
                </c:pt>
                <c:pt idx="5">
                  <c:v>Mefadon</c:v>
                </c:pt>
                <c:pt idx="6">
                  <c:v>Substancje wziewne</c:v>
                </c:pt>
              </c:strCache>
            </c:strRef>
          </c:cat>
          <c:val>
            <c:numRef>
              <c:f>Arkusz1!$H$93:$H$99</c:f>
              <c:numCache>
                <c:formatCode>General</c:formatCode>
                <c:ptCount val="7"/>
                <c:pt idx="0">
                  <c:v>33</c:v>
                </c:pt>
                <c:pt idx="1">
                  <c:v>1.5</c:v>
                </c:pt>
                <c:pt idx="2">
                  <c:v>1.3</c:v>
                </c:pt>
                <c:pt idx="3">
                  <c:v>9.4</c:v>
                </c:pt>
                <c:pt idx="4">
                  <c:v>12.4</c:v>
                </c:pt>
                <c:pt idx="5">
                  <c:v>2.8</c:v>
                </c:pt>
                <c:pt idx="6">
                  <c:v>14</c:v>
                </c:pt>
              </c:numCache>
            </c:numRef>
          </c:val>
          <c:extLst>
            <c:ext xmlns:c16="http://schemas.microsoft.com/office/drawing/2014/chart" uri="{C3380CC4-5D6E-409C-BE32-E72D297353CC}">
              <c16:uniqueId val="{00000000-A166-4B97-981D-27D6F5F21A10}"/>
            </c:ext>
          </c:extLst>
        </c:ser>
        <c:ser>
          <c:idx val="1"/>
          <c:order val="1"/>
          <c:tx>
            <c:strRef>
              <c:f>Arkusz1!$I$92</c:f>
              <c:strCache>
                <c:ptCount val="1"/>
                <c:pt idx="0">
                  <c:v>W ciągu 12 miesięcy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Arkusz1!$G$93:$G$99</c:f>
              <c:strCache>
                <c:ptCount val="7"/>
                <c:pt idx="0">
                  <c:v>Benzodiazepiny</c:v>
                </c:pt>
                <c:pt idx="1">
                  <c:v>Dezmorfina</c:v>
                </c:pt>
                <c:pt idx="2">
                  <c:v>Fentanyl</c:v>
                </c:pt>
                <c:pt idx="3">
                  <c:v>Kodeina</c:v>
                </c:pt>
                <c:pt idx="4">
                  <c:v>Mefedron</c:v>
                </c:pt>
                <c:pt idx="5">
                  <c:v>Mefadon</c:v>
                </c:pt>
                <c:pt idx="6">
                  <c:v>Substancje wziewne</c:v>
                </c:pt>
              </c:strCache>
            </c:strRef>
          </c:cat>
          <c:val>
            <c:numRef>
              <c:f>Arkusz1!$I$93:$I$99</c:f>
              <c:numCache>
                <c:formatCode>General</c:formatCode>
                <c:ptCount val="7"/>
                <c:pt idx="0">
                  <c:v>24</c:v>
                </c:pt>
                <c:pt idx="1">
                  <c:v>1</c:v>
                </c:pt>
                <c:pt idx="2">
                  <c:v>0.9</c:v>
                </c:pt>
                <c:pt idx="3">
                  <c:v>3.3</c:v>
                </c:pt>
                <c:pt idx="4">
                  <c:v>5.3</c:v>
                </c:pt>
                <c:pt idx="5">
                  <c:v>1.1000000000000001</c:v>
                </c:pt>
                <c:pt idx="6">
                  <c:v>2.1</c:v>
                </c:pt>
              </c:numCache>
            </c:numRef>
          </c:val>
          <c:extLst>
            <c:ext xmlns:c16="http://schemas.microsoft.com/office/drawing/2014/chart" uri="{C3380CC4-5D6E-409C-BE32-E72D297353CC}">
              <c16:uniqueId val="{00000001-A166-4B97-981D-27D6F5F21A10}"/>
            </c:ext>
          </c:extLst>
        </c:ser>
        <c:ser>
          <c:idx val="2"/>
          <c:order val="2"/>
          <c:tx>
            <c:strRef>
              <c:f>Arkusz1!$J$92</c:f>
              <c:strCache>
                <c:ptCount val="1"/>
                <c:pt idx="0">
                  <c:v>W ciągu 30 dni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Arkusz1!$G$93:$G$99</c:f>
              <c:strCache>
                <c:ptCount val="7"/>
                <c:pt idx="0">
                  <c:v>Benzodiazepiny</c:v>
                </c:pt>
                <c:pt idx="1">
                  <c:v>Dezmorfina</c:v>
                </c:pt>
                <c:pt idx="2">
                  <c:v>Fentanyl</c:v>
                </c:pt>
                <c:pt idx="3">
                  <c:v>Kodeina</c:v>
                </c:pt>
                <c:pt idx="4">
                  <c:v>Mefedron</c:v>
                </c:pt>
                <c:pt idx="5">
                  <c:v>Mefadon</c:v>
                </c:pt>
                <c:pt idx="6">
                  <c:v>Substancje wziewne</c:v>
                </c:pt>
              </c:strCache>
            </c:strRef>
          </c:cat>
          <c:val>
            <c:numRef>
              <c:f>Arkusz1!$J$93:$J$99</c:f>
              <c:numCache>
                <c:formatCode>General</c:formatCode>
                <c:ptCount val="7"/>
                <c:pt idx="0">
                  <c:v>15</c:v>
                </c:pt>
                <c:pt idx="1">
                  <c:v>0.9</c:v>
                </c:pt>
                <c:pt idx="2">
                  <c:v>0.30000000000000021</c:v>
                </c:pt>
                <c:pt idx="3">
                  <c:v>1.2</c:v>
                </c:pt>
                <c:pt idx="4">
                  <c:v>3.5</c:v>
                </c:pt>
                <c:pt idx="5">
                  <c:v>0.8</c:v>
                </c:pt>
                <c:pt idx="6">
                  <c:v>0.8</c:v>
                </c:pt>
              </c:numCache>
            </c:numRef>
          </c:val>
          <c:extLst>
            <c:ext xmlns:c16="http://schemas.microsoft.com/office/drawing/2014/chart" uri="{C3380CC4-5D6E-409C-BE32-E72D297353CC}">
              <c16:uniqueId val="{00000002-A166-4B97-981D-27D6F5F21A10}"/>
            </c:ext>
          </c:extLst>
        </c:ser>
        <c:dLbls>
          <c:showLegendKey val="0"/>
          <c:showVal val="1"/>
          <c:showCatName val="0"/>
          <c:showSerName val="0"/>
          <c:showPercent val="0"/>
          <c:showBubbleSize val="0"/>
        </c:dLbls>
        <c:gapWidth val="219"/>
        <c:overlap val="-27"/>
        <c:axId val="161908992"/>
        <c:axId val="161931264"/>
      </c:barChart>
      <c:catAx>
        <c:axId val="16190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1931264"/>
        <c:crosses val="autoZero"/>
        <c:auto val="1"/>
        <c:lblAlgn val="ctr"/>
        <c:lblOffset val="100"/>
        <c:noMultiLvlLbl val="0"/>
      </c:catAx>
      <c:valAx>
        <c:axId val="16193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190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Arkusz1!$A$128</c:f>
              <c:strCache>
                <c:ptCount val="1"/>
                <c:pt idx="0">
                  <c:v>Nikotyna</c:v>
                </c:pt>
              </c:strCache>
            </c:strRef>
          </c:tx>
          <c:spPr>
            <a:ln w="28575" cap="rnd">
              <a:solidFill>
                <a:schemeClr val="accent1"/>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Arkusz1!$B$128:$G$128</c:f>
              <c:numCache>
                <c:formatCode>General</c:formatCode>
                <c:ptCount val="6"/>
                <c:pt idx="0">
                  <c:v>26.4</c:v>
                </c:pt>
                <c:pt idx="1">
                  <c:v>16.5</c:v>
                </c:pt>
                <c:pt idx="2">
                  <c:v>11.2</c:v>
                </c:pt>
                <c:pt idx="3">
                  <c:v>4</c:v>
                </c:pt>
                <c:pt idx="4">
                  <c:v>1</c:v>
                </c:pt>
                <c:pt idx="5">
                  <c:v>0</c:v>
                </c:pt>
              </c:numCache>
            </c:numRef>
          </c:val>
          <c:smooth val="0"/>
          <c:extLst>
            <c:ext xmlns:c16="http://schemas.microsoft.com/office/drawing/2014/chart" uri="{C3380CC4-5D6E-409C-BE32-E72D297353CC}">
              <c16:uniqueId val="{00000000-CFD2-4546-92E8-B4648A58C4AA}"/>
            </c:ext>
          </c:extLst>
        </c:ser>
        <c:ser>
          <c:idx val="1"/>
          <c:order val="1"/>
          <c:tx>
            <c:strRef>
              <c:f>Arkusz1!$A$129</c:f>
              <c:strCache>
                <c:ptCount val="1"/>
                <c:pt idx="0">
                  <c:v>Alkohol</c:v>
                </c:pt>
              </c:strCache>
            </c:strRef>
          </c:tx>
          <c:spPr>
            <a:ln w="28575" cap="rnd">
              <a:solidFill>
                <a:schemeClr val="accent2"/>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Arkusz1!$B$129:$G$129</c:f>
              <c:numCache>
                <c:formatCode>General</c:formatCode>
                <c:ptCount val="6"/>
                <c:pt idx="0">
                  <c:v>59</c:v>
                </c:pt>
                <c:pt idx="1">
                  <c:v>22</c:v>
                </c:pt>
                <c:pt idx="2">
                  <c:v>1.2</c:v>
                </c:pt>
                <c:pt idx="3">
                  <c:v>1</c:v>
                </c:pt>
                <c:pt idx="4">
                  <c:v>0</c:v>
                </c:pt>
                <c:pt idx="5">
                  <c:v>0</c:v>
                </c:pt>
              </c:numCache>
            </c:numRef>
          </c:val>
          <c:smooth val="0"/>
          <c:extLst>
            <c:ext xmlns:c16="http://schemas.microsoft.com/office/drawing/2014/chart" uri="{C3380CC4-5D6E-409C-BE32-E72D297353CC}">
              <c16:uniqueId val="{00000001-CFD2-4546-92E8-B4648A58C4AA}"/>
            </c:ext>
          </c:extLst>
        </c:ser>
        <c:ser>
          <c:idx val="2"/>
          <c:order val="2"/>
          <c:tx>
            <c:strRef>
              <c:f>Arkusz1!$A$130</c:f>
              <c:strCache>
                <c:ptCount val="1"/>
                <c:pt idx="0">
                  <c:v>Napoje energetyczne</c:v>
                </c:pt>
              </c:strCache>
            </c:strRef>
          </c:tx>
          <c:spPr>
            <a:ln w="28575" cap="rnd">
              <a:solidFill>
                <a:schemeClr val="accent3"/>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Arkusz1!$B$130:$G$130</c:f>
              <c:numCache>
                <c:formatCode>General</c:formatCode>
                <c:ptCount val="6"/>
                <c:pt idx="0">
                  <c:v>30</c:v>
                </c:pt>
                <c:pt idx="1">
                  <c:v>17.2</c:v>
                </c:pt>
                <c:pt idx="2">
                  <c:v>6.1</c:v>
                </c:pt>
                <c:pt idx="3">
                  <c:v>4.3</c:v>
                </c:pt>
                <c:pt idx="4">
                  <c:v>1.5</c:v>
                </c:pt>
                <c:pt idx="5">
                  <c:v>0.60000000000000042</c:v>
                </c:pt>
              </c:numCache>
            </c:numRef>
          </c:val>
          <c:smooth val="0"/>
          <c:extLst>
            <c:ext xmlns:c16="http://schemas.microsoft.com/office/drawing/2014/chart" uri="{C3380CC4-5D6E-409C-BE32-E72D297353CC}">
              <c16:uniqueId val="{00000002-CFD2-4546-92E8-B4648A58C4AA}"/>
            </c:ext>
          </c:extLst>
        </c:ser>
        <c:ser>
          <c:idx val="3"/>
          <c:order val="3"/>
          <c:tx>
            <c:strRef>
              <c:f>Arkusz1!$A$131</c:f>
              <c:strCache>
                <c:ptCount val="1"/>
                <c:pt idx="0">
                  <c:v>Marihuana</c:v>
                </c:pt>
              </c:strCache>
            </c:strRef>
          </c:tx>
          <c:spPr>
            <a:ln w="28575" cap="rnd">
              <a:solidFill>
                <a:schemeClr val="accent4"/>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Arkusz1!$B$131:$G$131</c:f>
              <c:numCache>
                <c:formatCode>General</c:formatCode>
                <c:ptCount val="6"/>
                <c:pt idx="0">
                  <c:v>4.5</c:v>
                </c:pt>
                <c:pt idx="1">
                  <c:v>4.5999999999999996</c:v>
                </c:pt>
                <c:pt idx="2">
                  <c:v>11</c:v>
                </c:pt>
                <c:pt idx="3">
                  <c:v>5.0999999999999996</c:v>
                </c:pt>
                <c:pt idx="4">
                  <c:v>1.2</c:v>
                </c:pt>
                <c:pt idx="5">
                  <c:v>0</c:v>
                </c:pt>
              </c:numCache>
            </c:numRef>
          </c:val>
          <c:smooth val="0"/>
          <c:extLst>
            <c:ext xmlns:c16="http://schemas.microsoft.com/office/drawing/2014/chart" uri="{C3380CC4-5D6E-409C-BE32-E72D297353CC}">
              <c16:uniqueId val="{00000003-CFD2-4546-92E8-B4648A58C4AA}"/>
            </c:ext>
          </c:extLst>
        </c:ser>
        <c:ser>
          <c:idx val="4"/>
          <c:order val="4"/>
          <c:tx>
            <c:strRef>
              <c:f>Arkusz1!$A$132</c:f>
              <c:strCache>
                <c:ptCount val="1"/>
                <c:pt idx="0">
                  <c:v>Dopalacze</c:v>
                </c:pt>
              </c:strCache>
            </c:strRef>
          </c:tx>
          <c:spPr>
            <a:ln w="28575" cap="rnd">
              <a:solidFill>
                <a:schemeClr val="accent5"/>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Arkusz1!$B$132:$G$132</c:f>
              <c:numCache>
                <c:formatCode>General</c:formatCode>
                <c:ptCount val="6"/>
                <c:pt idx="0">
                  <c:v>1.8</c:v>
                </c:pt>
                <c:pt idx="1">
                  <c:v>2.6</c:v>
                </c:pt>
                <c:pt idx="2">
                  <c:v>1.2</c:v>
                </c:pt>
                <c:pt idx="3">
                  <c:v>0.60000000000000042</c:v>
                </c:pt>
                <c:pt idx="4">
                  <c:v>0.5</c:v>
                </c:pt>
                <c:pt idx="5">
                  <c:v>0</c:v>
                </c:pt>
              </c:numCache>
            </c:numRef>
          </c:val>
          <c:smooth val="0"/>
          <c:extLst>
            <c:ext xmlns:c16="http://schemas.microsoft.com/office/drawing/2014/chart" uri="{C3380CC4-5D6E-409C-BE32-E72D297353CC}">
              <c16:uniqueId val="{00000004-CFD2-4546-92E8-B4648A58C4AA}"/>
            </c:ext>
          </c:extLst>
        </c:ser>
        <c:ser>
          <c:idx val="5"/>
          <c:order val="5"/>
          <c:tx>
            <c:strRef>
              <c:f>Arkusz1!$A$133</c:f>
              <c:strCache>
                <c:ptCount val="1"/>
                <c:pt idx="0">
                  <c:v>Leki w celu odurzania się</c:v>
                </c:pt>
              </c:strCache>
            </c:strRef>
          </c:tx>
          <c:spPr>
            <a:ln w="28575" cap="rnd">
              <a:solidFill>
                <a:schemeClr val="accent6"/>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Arkusz1!$B$133:$G$133</c:f>
              <c:numCache>
                <c:formatCode>General</c:formatCode>
                <c:ptCount val="6"/>
                <c:pt idx="0">
                  <c:v>2.9</c:v>
                </c:pt>
                <c:pt idx="1">
                  <c:v>7.8</c:v>
                </c:pt>
                <c:pt idx="2">
                  <c:v>6.2</c:v>
                </c:pt>
                <c:pt idx="3">
                  <c:v>2</c:v>
                </c:pt>
                <c:pt idx="4">
                  <c:v>1.2</c:v>
                </c:pt>
                <c:pt idx="5">
                  <c:v>0</c:v>
                </c:pt>
              </c:numCache>
            </c:numRef>
          </c:val>
          <c:smooth val="0"/>
          <c:extLst>
            <c:ext xmlns:c16="http://schemas.microsoft.com/office/drawing/2014/chart" uri="{C3380CC4-5D6E-409C-BE32-E72D297353CC}">
              <c16:uniqueId val="{00000005-CFD2-4546-92E8-B4648A58C4AA}"/>
            </c:ext>
          </c:extLst>
        </c:ser>
        <c:ser>
          <c:idx val="6"/>
          <c:order val="6"/>
          <c:tx>
            <c:strRef>
              <c:f>Arkusz1!$A$134</c:f>
              <c:strCache>
                <c:ptCount val="1"/>
                <c:pt idx="0">
                  <c:v>Ecstazy</c:v>
                </c:pt>
              </c:strCache>
            </c:strRef>
          </c:tx>
          <c:spPr>
            <a:ln w="28575" cap="rnd">
              <a:solidFill>
                <a:schemeClr val="accent1">
                  <a:lumMod val="6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Arkusz1!$B$134:$G$134</c:f>
              <c:numCache>
                <c:formatCode>General</c:formatCode>
                <c:ptCount val="6"/>
                <c:pt idx="0">
                  <c:v>0.5</c:v>
                </c:pt>
                <c:pt idx="1">
                  <c:v>1.9000000000000001</c:v>
                </c:pt>
                <c:pt idx="2">
                  <c:v>1.5</c:v>
                </c:pt>
                <c:pt idx="3">
                  <c:v>0.5</c:v>
                </c:pt>
                <c:pt idx="4">
                  <c:v>0</c:v>
                </c:pt>
                <c:pt idx="5">
                  <c:v>0</c:v>
                </c:pt>
              </c:numCache>
            </c:numRef>
          </c:val>
          <c:smooth val="0"/>
          <c:extLst>
            <c:ext xmlns:c16="http://schemas.microsoft.com/office/drawing/2014/chart" uri="{C3380CC4-5D6E-409C-BE32-E72D297353CC}">
              <c16:uniqueId val="{00000006-CFD2-4546-92E8-B4648A58C4AA}"/>
            </c:ext>
          </c:extLst>
        </c:ser>
        <c:ser>
          <c:idx val="7"/>
          <c:order val="7"/>
          <c:tx>
            <c:strRef>
              <c:f>Arkusz1!$A$135</c:f>
              <c:strCache>
                <c:ptCount val="1"/>
                <c:pt idx="0">
                  <c:v>Amfetamina</c:v>
                </c:pt>
              </c:strCache>
            </c:strRef>
          </c:tx>
          <c:spPr>
            <a:ln w="28575" cap="rnd">
              <a:solidFill>
                <a:schemeClr val="accent2">
                  <a:lumMod val="6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Arkusz1!$B$135:$G$135</c:f>
              <c:numCache>
                <c:formatCode>General</c:formatCode>
                <c:ptCount val="6"/>
                <c:pt idx="0">
                  <c:v>0.2</c:v>
                </c:pt>
                <c:pt idx="1">
                  <c:v>1.8</c:v>
                </c:pt>
                <c:pt idx="2">
                  <c:v>1.2</c:v>
                </c:pt>
                <c:pt idx="3">
                  <c:v>1</c:v>
                </c:pt>
                <c:pt idx="4">
                  <c:v>0.8</c:v>
                </c:pt>
                <c:pt idx="5">
                  <c:v>0</c:v>
                </c:pt>
              </c:numCache>
            </c:numRef>
          </c:val>
          <c:smooth val="0"/>
          <c:extLst>
            <c:ext xmlns:c16="http://schemas.microsoft.com/office/drawing/2014/chart" uri="{C3380CC4-5D6E-409C-BE32-E72D297353CC}">
              <c16:uniqueId val="{00000007-CFD2-4546-92E8-B4648A58C4AA}"/>
            </c:ext>
          </c:extLst>
        </c:ser>
        <c:ser>
          <c:idx val="8"/>
          <c:order val="8"/>
          <c:tx>
            <c:strRef>
              <c:f>Arkusz1!$A$136</c:f>
              <c:strCache>
                <c:ptCount val="1"/>
                <c:pt idx="0">
                  <c:v>Benzodiazepiny</c:v>
                </c:pt>
              </c:strCache>
            </c:strRef>
          </c:tx>
          <c:spPr>
            <a:ln w="28575" cap="rnd">
              <a:solidFill>
                <a:schemeClr val="accent3">
                  <a:lumMod val="6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Arkusz1!$B$136:$G$136</c:f>
              <c:numCache>
                <c:formatCode>General</c:formatCode>
                <c:ptCount val="6"/>
                <c:pt idx="0">
                  <c:v>3.1</c:v>
                </c:pt>
                <c:pt idx="1">
                  <c:v>8.1</c:v>
                </c:pt>
                <c:pt idx="2">
                  <c:v>12.9</c:v>
                </c:pt>
                <c:pt idx="3">
                  <c:v>14</c:v>
                </c:pt>
                <c:pt idx="4">
                  <c:v>13.6</c:v>
                </c:pt>
                <c:pt idx="5">
                  <c:v>12.8</c:v>
                </c:pt>
              </c:numCache>
            </c:numRef>
          </c:val>
          <c:smooth val="0"/>
          <c:extLst>
            <c:ext xmlns:c16="http://schemas.microsoft.com/office/drawing/2014/chart" uri="{C3380CC4-5D6E-409C-BE32-E72D297353CC}">
              <c16:uniqueId val="{00000008-CFD2-4546-92E8-B4648A58C4AA}"/>
            </c:ext>
          </c:extLst>
        </c:ser>
        <c:ser>
          <c:idx val="9"/>
          <c:order val="9"/>
          <c:tx>
            <c:strRef>
              <c:f>Arkusz1!$A$137</c:f>
              <c:strCache>
                <c:ptCount val="1"/>
                <c:pt idx="0">
                  <c:v>Kokaina</c:v>
                </c:pt>
              </c:strCache>
            </c:strRef>
          </c:tx>
          <c:spPr>
            <a:ln w="28575" cap="rnd">
              <a:solidFill>
                <a:schemeClr val="accent4">
                  <a:lumMod val="6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Arkusz1!$B$137:$G$137</c:f>
              <c:numCache>
                <c:formatCode>General</c:formatCode>
                <c:ptCount val="6"/>
                <c:pt idx="0">
                  <c:v>0</c:v>
                </c:pt>
                <c:pt idx="1">
                  <c:v>0.7000000000000004</c:v>
                </c:pt>
                <c:pt idx="2">
                  <c:v>1.9000000000000001</c:v>
                </c:pt>
                <c:pt idx="3">
                  <c:v>0.30000000000000021</c:v>
                </c:pt>
                <c:pt idx="4">
                  <c:v>0</c:v>
                </c:pt>
                <c:pt idx="5">
                  <c:v>0</c:v>
                </c:pt>
              </c:numCache>
            </c:numRef>
          </c:val>
          <c:smooth val="0"/>
          <c:extLst>
            <c:ext xmlns:c16="http://schemas.microsoft.com/office/drawing/2014/chart" uri="{C3380CC4-5D6E-409C-BE32-E72D297353CC}">
              <c16:uniqueId val="{00000009-CFD2-4546-92E8-B4648A58C4AA}"/>
            </c:ext>
          </c:extLst>
        </c:ser>
        <c:ser>
          <c:idx val="10"/>
          <c:order val="10"/>
          <c:tx>
            <c:strRef>
              <c:f>Arkusz1!$A$138</c:f>
              <c:strCache>
                <c:ptCount val="1"/>
                <c:pt idx="0">
                  <c:v>Mefedron</c:v>
                </c:pt>
              </c:strCache>
            </c:strRef>
          </c:tx>
          <c:spPr>
            <a:ln w="28575" cap="rnd">
              <a:solidFill>
                <a:schemeClr val="accent5">
                  <a:lumMod val="6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Arkusz1!$B$138:$G$138</c:f>
              <c:numCache>
                <c:formatCode>General</c:formatCode>
                <c:ptCount val="6"/>
                <c:pt idx="0">
                  <c:v>1.5</c:v>
                </c:pt>
                <c:pt idx="1">
                  <c:v>3.9</c:v>
                </c:pt>
                <c:pt idx="2">
                  <c:v>4.5</c:v>
                </c:pt>
                <c:pt idx="3">
                  <c:v>1</c:v>
                </c:pt>
                <c:pt idx="4">
                  <c:v>0</c:v>
                </c:pt>
                <c:pt idx="5">
                  <c:v>0</c:v>
                </c:pt>
              </c:numCache>
            </c:numRef>
          </c:val>
          <c:smooth val="0"/>
          <c:extLst>
            <c:ext xmlns:c16="http://schemas.microsoft.com/office/drawing/2014/chart" uri="{C3380CC4-5D6E-409C-BE32-E72D297353CC}">
              <c16:uniqueId val="{0000000A-CFD2-4546-92E8-B4648A58C4AA}"/>
            </c:ext>
          </c:extLst>
        </c:ser>
        <c:ser>
          <c:idx val="11"/>
          <c:order val="11"/>
          <c:tx>
            <c:strRef>
              <c:f>Arkusz1!$A$139</c:f>
              <c:strCache>
                <c:ptCount val="1"/>
                <c:pt idx="0">
                  <c:v>Heroina</c:v>
                </c:pt>
              </c:strCache>
            </c:strRef>
          </c:tx>
          <c:spPr>
            <a:ln w="28575" cap="rnd">
              <a:solidFill>
                <a:schemeClr val="accent6">
                  <a:lumMod val="6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Arkusz1!$B$139:$G$139</c:f>
              <c:numCache>
                <c:formatCode>General</c:formatCode>
                <c:ptCount val="6"/>
                <c:pt idx="0">
                  <c:v>0.5</c:v>
                </c:pt>
                <c:pt idx="1">
                  <c:v>3.1</c:v>
                </c:pt>
                <c:pt idx="2">
                  <c:v>2.1</c:v>
                </c:pt>
                <c:pt idx="3">
                  <c:v>1.2</c:v>
                </c:pt>
                <c:pt idx="4">
                  <c:v>0.30000000000000021</c:v>
                </c:pt>
                <c:pt idx="5">
                  <c:v>0</c:v>
                </c:pt>
              </c:numCache>
            </c:numRef>
          </c:val>
          <c:smooth val="0"/>
          <c:extLst>
            <c:ext xmlns:c16="http://schemas.microsoft.com/office/drawing/2014/chart" uri="{C3380CC4-5D6E-409C-BE32-E72D297353CC}">
              <c16:uniqueId val="{0000000B-CFD2-4546-92E8-B4648A58C4AA}"/>
            </c:ext>
          </c:extLst>
        </c:ser>
        <c:ser>
          <c:idx val="12"/>
          <c:order val="12"/>
          <c:tx>
            <c:strRef>
              <c:f>Arkusz1!$A$140</c:f>
              <c:strCache>
                <c:ptCount val="1"/>
                <c:pt idx="0">
                  <c:v>Substancje wziewne</c:v>
                </c:pt>
              </c:strCache>
            </c:strRef>
          </c:tx>
          <c:spPr>
            <a:ln w="28575" cap="rnd">
              <a:solidFill>
                <a:schemeClr val="accent1">
                  <a:lumMod val="80000"/>
                  <a:lumOff val="20000"/>
                </a:schemeClr>
              </a:solidFill>
              <a:round/>
            </a:ln>
            <a:effectLst/>
          </c:spPr>
          <c:marker>
            <c:symbol val="none"/>
          </c:marker>
          <c:cat>
            <c:strRef>
              <c:f>Arkusz1!$B$127:$G$127</c:f>
              <c:strCache>
                <c:ptCount val="6"/>
                <c:pt idx="0">
                  <c:v>10-15 lat</c:v>
                </c:pt>
                <c:pt idx="1">
                  <c:v>16-20 lat</c:v>
                </c:pt>
                <c:pt idx="2">
                  <c:v>21-30 lat</c:v>
                </c:pt>
                <c:pt idx="3">
                  <c:v>31-40 lat</c:v>
                </c:pt>
                <c:pt idx="4">
                  <c:v>41-50 lat</c:v>
                </c:pt>
                <c:pt idx="5">
                  <c:v>51 lub więcej</c:v>
                </c:pt>
              </c:strCache>
            </c:strRef>
          </c:cat>
          <c:val>
            <c:numRef>
              <c:f>Arkusz1!$B$140:$G$140</c:f>
              <c:numCache>
                <c:formatCode>General</c:formatCode>
                <c:ptCount val="6"/>
                <c:pt idx="0">
                  <c:v>12</c:v>
                </c:pt>
                <c:pt idx="1">
                  <c:v>5.6</c:v>
                </c:pt>
                <c:pt idx="2">
                  <c:v>2.2999999999999998</c:v>
                </c:pt>
                <c:pt idx="3">
                  <c:v>0.2</c:v>
                </c:pt>
                <c:pt idx="4">
                  <c:v>0</c:v>
                </c:pt>
                <c:pt idx="5">
                  <c:v>0</c:v>
                </c:pt>
              </c:numCache>
            </c:numRef>
          </c:val>
          <c:smooth val="0"/>
          <c:extLst>
            <c:ext xmlns:c16="http://schemas.microsoft.com/office/drawing/2014/chart" uri="{C3380CC4-5D6E-409C-BE32-E72D297353CC}">
              <c16:uniqueId val="{0000000C-CFD2-4546-92E8-B4648A58C4AA}"/>
            </c:ext>
          </c:extLst>
        </c:ser>
        <c:dLbls>
          <c:showLegendKey val="0"/>
          <c:showVal val="0"/>
          <c:showCatName val="0"/>
          <c:showSerName val="0"/>
          <c:showPercent val="0"/>
          <c:showBubbleSize val="0"/>
        </c:dLbls>
        <c:smooth val="0"/>
        <c:axId val="163108736"/>
        <c:axId val="163110272"/>
      </c:lineChart>
      <c:catAx>
        <c:axId val="16310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3110272"/>
        <c:crosses val="autoZero"/>
        <c:auto val="1"/>
        <c:lblAlgn val="ctr"/>
        <c:lblOffset val="100"/>
        <c:noMultiLvlLbl val="0"/>
      </c:catAx>
      <c:valAx>
        <c:axId val="16311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310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Arkusz5!$D$72</c:f>
              <c:strCache>
                <c:ptCount val="1"/>
                <c:pt idx="0">
                  <c:v>Jeden raz</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Arkusz5!$C$73:$C$79</c:f>
              <c:strCache>
                <c:ptCount val="7"/>
                <c:pt idx="0">
                  <c:v>Bimber</c:v>
                </c:pt>
                <c:pt idx="1">
                  <c:v>Wódka</c:v>
                </c:pt>
                <c:pt idx="2">
                  <c:v>Miód Pitny</c:v>
                </c:pt>
                <c:pt idx="3">
                  <c:v>Wino</c:v>
                </c:pt>
                <c:pt idx="4">
                  <c:v>Piwo</c:v>
                </c:pt>
                <c:pt idx="5">
                  <c:v>Cydr</c:v>
                </c:pt>
                <c:pt idx="6">
                  <c:v>Alcopop</c:v>
                </c:pt>
              </c:strCache>
            </c:strRef>
          </c:cat>
          <c:val>
            <c:numRef>
              <c:f>Arkusz5!$D$73:$D$79</c:f>
              <c:numCache>
                <c:formatCode>General</c:formatCode>
                <c:ptCount val="7"/>
                <c:pt idx="0">
                  <c:v>8</c:v>
                </c:pt>
                <c:pt idx="1">
                  <c:v>7</c:v>
                </c:pt>
                <c:pt idx="2">
                  <c:v>1</c:v>
                </c:pt>
                <c:pt idx="3">
                  <c:v>8</c:v>
                </c:pt>
                <c:pt idx="4">
                  <c:v>3</c:v>
                </c:pt>
                <c:pt idx="5">
                  <c:v>1</c:v>
                </c:pt>
                <c:pt idx="6">
                  <c:v>2</c:v>
                </c:pt>
              </c:numCache>
            </c:numRef>
          </c:val>
          <c:extLst>
            <c:ext xmlns:c16="http://schemas.microsoft.com/office/drawing/2014/chart" uri="{C3380CC4-5D6E-409C-BE32-E72D297353CC}">
              <c16:uniqueId val="{00000000-BE00-4336-95C4-C49E5E45FAA1}"/>
            </c:ext>
          </c:extLst>
        </c:ser>
        <c:ser>
          <c:idx val="1"/>
          <c:order val="1"/>
          <c:tx>
            <c:strRef>
              <c:f>Arkusz5!$E$72</c:f>
              <c:strCache>
                <c:ptCount val="1"/>
                <c:pt idx="0">
                  <c:v>Od 2 do 4 razy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Arkusz5!$C$73:$C$79</c:f>
              <c:strCache>
                <c:ptCount val="7"/>
                <c:pt idx="0">
                  <c:v>Bimber</c:v>
                </c:pt>
                <c:pt idx="1">
                  <c:v>Wódka</c:v>
                </c:pt>
                <c:pt idx="2">
                  <c:v>Miód Pitny</c:v>
                </c:pt>
                <c:pt idx="3">
                  <c:v>Wino</c:v>
                </c:pt>
                <c:pt idx="4">
                  <c:v>Piwo</c:v>
                </c:pt>
                <c:pt idx="5">
                  <c:v>Cydr</c:v>
                </c:pt>
                <c:pt idx="6">
                  <c:v>Alcopop</c:v>
                </c:pt>
              </c:strCache>
            </c:strRef>
          </c:cat>
          <c:val>
            <c:numRef>
              <c:f>Arkusz5!$E$73:$E$79</c:f>
              <c:numCache>
                <c:formatCode>General</c:formatCode>
                <c:ptCount val="7"/>
                <c:pt idx="0">
                  <c:v>8</c:v>
                </c:pt>
                <c:pt idx="1">
                  <c:v>39</c:v>
                </c:pt>
                <c:pt idx="2">
                  <c:v>6</c:v>
                </c:pt>
                <c:pt idx="3">
                  <c:v>15</c:v>
                </c:pt>
                <c:pt idx="4">
                  <c:v>8</c:v>
                </c:pt>
                <c:pt idx="5">
                  <c:v>4</c:v>
                </c:pt>
                <c:pt idx="6">
                  <c:v>3</c:v>
                </c:pt>
              </c:numCache>
            </c:numRef>
          </c:val>
          <c:extLst>
            <c:ext xmlns:c16="http://schemas.microsoft.com/office/drawing/2014/chart" uri="{C3380CC4-5D6E-409C-BE32-E72D297353CC}">
              <c16:uniqueId val="{00000001-BE00-4336-95C4-C49E5E45FAA1}"/>
            </c:ext>
          </c:extLst>
        </c:ser>
        <c:ser>
          <c:idx val="2"/>
          <c:order val="2"/>
          <c:tx>
            <c:strRef>
              <c:f>Arkusz5!$F$72</c:f>
              <c:strCache>
                <c:ptCount val="1"/>
                <c:pt idx="0">
                  <c:v>Od 5 do 10 razy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Arkusz5!$C$73:$C$79</c:f>
              <c:strCache>
                <c:ptCount val="7"/>
                <c:pt idx="0">
                  <c:v>Bimber</c:v>
                </c:pt>
                <c:pt idx="1">
                  <c:v>Wódka</c:v>
                </c:pt>
                <c:pt idx="2">
                  <c:v>Miód Pitny</c:v>
                </c:pt>
                <c:pt idx="3">
                  <c:v>Wino</c:v>
                </c:pt>
                <c:pt idx="4">
                  <c:v>Piwo</c:v>
                </c:pt>
                <c:pt idx="5">
                  <c:v>Cydr</c:v>
                </c:pt>
                <c:pt idx="6">
                  <c:v>Alcopop</c:v>
                </c:pt>
              </c:strCache>
            </c:strRef>
          </c:cat>
          <c:val>
            <c:numRef>
              <c:f>Arkusz5!$F$73:$F$79</c:f>
              <c:numCache>
                <c:formatCode>General</c:formatCode>
                <c:ptCount val="7"/>
                <c:pt idx="0">
                  <c:v>9</c:v>
                </c:pt>
                <c:pt idx="1">
                  <c:v>15</c:v>
                </c:pt>
                <c:pt idx="2">
                  <c:v>4.3</c:v>
                </c:pt>
                <c:pt idx="3">
                  <c:v>33</c:v>
                </c:pt>
                <c:pt idx="4">
                  <c:v>29.5</c:v>
                </c:pt>
                <c:pt idx="5">
                  <c:v>9</c:v>
                </c:pt>
                <c:pt idx="6">
                  <c:v>3</c:v>
                </c:pt>
              </c:numCache>
            </c:numRef>
          </c:val>
          <c:extLst>
            <c:ext xmlns:c16="http://schemas.microsoft.com/office/drawing/2014/chart" uri="{C3380CC4-5D6E-409C-BE32-E72D297353CC}">
              <c16:uniqueId val="{00000002-BE00-4336-95C4-C49E5E45FAA1}"/>
            </c:ext>
          </c:extLst>
        </c:ser>
        <c:ser>
          <c:idx val="3"/>
          <c:order val="3"/>
          <c:tx>
            <c:strRef>
              <c:f>Arkusz5!$G$72</c:f>
              <c:strCache>
                <c:ptCount val="1"/>
                <c:pt idx="0">
                  <c:v>Od 11 do 20 razy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Arkusz5!$C$73:$C$79</c:f>
              <c:strCache>
                <c:ptCount val="7"/>
                <c:pt idx="0">
                  <c:v>Bimber</c:v>
                </c:pt>
                <c:pt idx="1">
                  <c:v>Wódka</c:v>
                </c:pt>
                <c:pt idx="2">
                  <c:v>Miód Pitny</c:v>
                </c:pt>
                <c:pt idx="3">
                  <c:v>Wino</c:v>
                </c:pt>
                <c:pt idx="4">
                  <c:v>Piwo</c:v>
                </c:pt>
                <c:pt idx="5">
                  <c:v>Cydr</c:v>
                </c:pt>
                <c:pt idx="6">
                  <c:v>Alcopop</c:v>
                </c:pt>
              </c:strCache>
            </c:strRef>
          </c:cat>
          <c:val>
            <c:numRef>
              <c:f>Arkusz5!$G$73:$G$79</c:f>
              <c:numCache>
                <c:formatCode>General</c:formatCode>
                <c:ptCount val="7"/>
                <c:pt idx="0">
                  <c:v>10</c:v>
                </c:pt>
                <c:pt idx="1">
                  <c:v>6</c:v>
                </c:pt>
                <c:pt idx="2">
                  <c:v>2</c:v>
                </c:pt>
                <c:pt idx="3">
                  <c:v>12</c:v>
                </c:pt>
                <c:pt idx="4">
                  <c:v>41</c:v>
                </c:pt>
                <c:pt idx="5">
                  <c:v>0.5</c:v>
                </c:pt>
              </c:numCache>
            </c:numRef>
          </c:val>
          <c:extLst>
            <c:ext xmlns:c16="http://schemas.microsoft.com/office/drawing/2014/chart" uri="{C3380CC4-5D6E-409C-BE32-E72D297353CC}">
              <c16:uniqueId val="{00000003-BE00-4336-95C4-C49E5E45FAA1}"/>
            </c:ext>
          </c:extLst>
        </c:ser>
        <c:ser>
          <c:idx val="4"/>
          <c:order val="4"/>
          <c:tx>
            <c:strRef>
              <c:f>Arkusz5!$H$72</c:f>
              <c:strCache>
                <c:ptCount val="1"/>
                <c:pt idx="0">
                  <c:v>Codziennie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Arkusz5!$C$73:$C$79</c:f>
              <c:strCache>
                <c:ptCount val="7"/>
                <c:pt idx="0">
                  <c:v>Bimber</c:v>
                </c:pt>
                <c:pt idx="1">
                  <c:v>Wódka</c:v>
                </c:pt>
                <c:pt idx="2">
                  <c:v>Miód Pitny</c:v>
                </c:pt>
                <c:pt idx="3">
                  <c:v>Wino</c:v>
                </c:pt>
                <c:pt idx="4">
                  <c:v>Piwo</c:v>
                </c:pt>
                <c:pt idx="5">
                  <c:v>Cydr</c:v>
                </c:pt>
                <c:pt idx="6">
                  <c:v>Alcopop</c:v>
                </c:pt>
              </c:strCache>
            </c:strRef>
          </c:cat>
          <c:val>
            <c:numRef>
              <c:f>Arkusz5!$H$73:$H$79</c:f>
              <c:numCache>
                <c:formatCode>General</c:formatCode>
                <c:ptCount val="7"/>
                <c:pt idx="1">
                  <c:v>2</c:v>
                </c:pt>
                <c:pt idx="2">
                  <c:v>1</c:v>
                </c:pt>
                <c:pt idx="3">
                  <c:v>4</c:v>
                </c:pt>
                <c:pt idx="4">
                  <c:v>19</c:v>
                </c:pt>
              </c:numCache>
            </c:numRef>
          </c:val>
          <c:extLst>
            <c:ext xmlns:c16="http://schemas.microsoft.com/office/drawing/2014/chart" uri="{C3380CC4-5D6E-409C-BE32-E72D297353CC}">
              <c16:uniqueId val="{00000004-BE00-4336-95C4-C49E5E45FAA1}"/>
            </c:ext>
          </c:extLst>
        </c:ser>
        <c:dLbls>
          <c:showLegendKey val="0"/>
          <c:showVal val="1"/>
          <c:showCatName val="0"/>
          <c:showSerName val="0"/>
          <c:showPercent val="0"/>
          <c:showBubbleSize val="0"/>
        </c:dLbls>
        <c:gapWidth val="219"/>
        <c:overlap val="-27"/>
        <c:axId val="84416384"/>
        <c:axId val="84513536"/>
      </c:barChart>
      <c:catAx>
        <c:axId val="8441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4513536"/>
        <c:crosses val="autoZero"/>
        <c:auto val="1"/>
        <c:lblAlgn val="ctr"/>
        <c:lblOffset val="100"/>
        <c:noMultiLvlLbl val="0"/>
      </c:catAx>
      <c:valAx>
        <c:axId val="8451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441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Arkusz5!$D$99</c:f>
              <c:strCache>
                <c:ptCount val="1"/>
                <c:pt idx="0">
                  <c:v>Jeden raz</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Arkusz5!$C$100:$C$106</c:f>
              <c:strCache>
                <c:ptCount val="7"/>
                <c:pt idx="0">
                  <c:v>Bimber</c:v>
                </c:pt>
                <c:pt idx="1">
                  <c:v>Wódka</c:v>
                </c:pt>
                <c:pt idx="2">
                  <c:v>Miód Pitny</c:v>
                </c:pt>
                <c:pt idx="3">
                  <c:v>Wino</c:v>
                </c:pt>
                <c:pt idx="4">
                  <c:v>Piwo</c:v>
                </c:pt>
                <c:pt idx="5">
                  <c:v>Cydr</c:v>
                </c:pt>
                <c:pt idx="6">
                  <c:v>Alcopop</c:v>
                </c:pt>
              </c:strCache>
            </c:strRef>
          </c:cat>
          <c:val>
            <c:numRef>
              <c:f>Arkusz5!$D$100:$D$106</c:f>
              <c:numCache>
                <c:formatCode>General</c:formatCode>
                <c:ptCount val="7"/>
                <c:pt idx="0">
                  <c:v>3</c:v>
                </c:pt>
                <c:pt idx="1">
                  <c:v>6</c:v>
                </c:pt>
                <c:pt idx="2">
                  <c:v>3</c:v>
                </c:pt>
                <c:pt idx="3">
                  <c:v>13</c:v>
                </c:pt>
                <c:pt idx="4">
                  <c:v>8</c:v>
                </c:pt>
                <c:pt idx="5">
                  <c:v>2</c:v>
                </c:pt>
                <c:pt idx="6">
                  <c:v>1</c:v>
                </c:pt>
              </c:numCache>
            </c:numRef>
          </c:val>
          <c:extLst>
            <c:ext xmlns:c16="http://schemas.microsoft.com/office/drawing/2014/chart" uri="{C3380CC4-5D6E-409C-BE32-E72D297353CC}">
              <c16:uniqueId val="{00000000-B7BC-47E2-9252-6B7173C06D12}"/>
            </c:ext>
          </c:extLst>
        </c:ser>
        <c:ser>
          <c:idx val="1"/>
          <c:order val="1"/>
          <c:tx>
            <c:strRef>
              <c:f>Arkusz5!$E$99</c:f>
              <c:strCache>
                <c:ptCount val="1"/>
                <c:pt idx="0">
                  <c:v>Od 2 do 4 razy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Arkusz5!$C$100:$C$106</c:f>
              <c:strCache>
                <c:ptCount val="7"/>
                <c:pt idx="0">
                  <c:v>Bimber</c:v>
                </c:pt>
                <c:pt idx="1">
                  <c:v>Wódka</c:v>
                </c:pt>
                <c:pt idx="2">
                  <c:v>Miód Pitny</c:v>
                </c:pt>
                <c:pt idx="3">
                  <c:v>Wino</c:v>
                </c:pt>
                <c:pt idx="4">
                  <c:v>Piwo</c:v>
                </c:pt>
                <c:pt idx="5">
                  <c:v>Cydr</c:v>
                </c:pt>
                <c:pt idx="6">
                  <c:v>Alcopop</c:v>
                </c:pt>
              </c:strCache>
            </c:strRef>
          </c:cat>
          <c:val>
            <c:numRef>
              <c:f>Arkusz5!$E$100:$E$106</c:f>
              <c:numCache>
                <c:formatCode>General</c:formatCode>
                <c:ptCount val="7"/>
                <c:pt idx="0">
                  <c:v>9</c:v>
                </c:pt>
                <c:pt idx="1">
                  <c:v>35</c:v>
                </c:pt>
                <c:pt idx="2">
                  <c:v>4</c:v>
                </c:pt>
                <c:pt idx="3">
                  <c:v>14</c:v>
                </c:pt>
                <c:pt idx="4">
                  <c:v>22</c:v>
                </c:pt>
                <c:pt idx="5">
                  <c:v>2</c:v>
                </c:pt>
                <c:pt idx="6">
                  <c:v>1</c:v>
                </c:pt>
              </c:numCache>
            </c:numRef>
          </c:val>
          <c:extLst>
            <c:ext xmlns:c16="http://schemas.microsoft.com/office/drawing/2014/chart" uri="{C3380CC4-5D6E-409C-BE32-E72D297353CC}">
              <c16:uniqueId val="{00000001-B7BC-47E2-9252-6B7173C06D12}"/>
            </c:ext>
          </c:extLst>
        </c:ser>
        <c:ser>
          <c:idx val="2"/>
          <c:order val="2"/>
          <c:tx>
            <c:strRef>
              <c:f>Arkusz5!$F$99</c:f>
              <c:strCache>
                <c:ptCount val="1"/>
                <c:pt idx="0">
                  <c:v>Od 5 do 10 razy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Arkusz5!$C$100:$C$106</c:f>
              <c:strCache>
                <c:ptCount val="7"/>
                <c:pt idx="0">
                  <c:v>Bimber</c:v>
                </c:pt>
                <c:pt idx="1">
                  <c:v>Wódka</c:v>
                </c:pt>
                <c:pt idx="2">
                  <c:v>Miód Pitny</c:v>
                </c:pt>
                <c:pt idx="3">
                  <c:v>Wino</c:v>
                </c:pt>
                <c:pt idx="4">
                  <c:v>Piwo</c:v>
                </c:pt>
                <c:pt idx="5">
                  <c:v>Cydr</c:v>
                </c:pt>
                <c:pt idx="6">
                  <c:v>Alcopop</c:v>
                </c:pt>
              </c:strCache>
            </c:strRef>
          </c:cat>
          <c:val>
            <c:numRef>
              <c:f>Arkusz5!$F$100:$F$106</c:f>
              <c:numCache>
                <c:formatCode>General</c:formatCode>
                <c:ptCount val="7"/>
                <c:pt idx="0">
                  <c:v>6</c:v>
                </c:pt>
                <c:pt idx="1">
                  <c:v>12</c:v>
                </c:pt>
                <c:pt idx="2">
                  <c:v>2</c:v>
                </c:pt>
                <c:pt idx="3">
                  <c:v>20</c:v>
                </c:pt>
                <c:pt idx="4">
                  <c:v>29</c:v>
                </c:pt>
                <c:pt idx="5">
                  <c:v>3</c:v>
                </c:pt>
              </c:numCache>
            </c:numRef>
          </c:val>
          <c:extLst>
            <c:ext xmlns:c16="http://schemas.microsoft.com/office/drawing/2014/chart" uri="{C3380CC4-5D6E-409C-BE32-E72D297353CC}">
              <c16:uniqueId val="{00000002-B7BC-47E2-9252-6B7173C06D12}"/>
            </c:ext>
          </c:extLst>
        </c:ser>
        <c:ser>
          <c:idx val="3"/>
          <c:order val="3"/>
          <c:tx>
            <c:strRef>
              <c:f>Arkusz5!$G$99</c:f>
              <c:strCache>
                <c:ptCount val="1"/>
                <c:pt idx="0">
                  <c:v>Od 11 do 20 razy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Arkusz5!$C$100:$C$106</c:f>
              <c:strCache>
                <c:ptCount val="7"/>
                <c:pt idx="0">
                  <c:v>Bimber</c:v>
                </c:pt>
                <c:pt idx="1">
                  <c:v>Wódka</c:v>
                </c:pt>
                <c:pt idx="2">
                  <c:v>Miód Pitny</c:v>
                </c:pt>
                <c:pt idx="3">
                  <c:v>Wino</c:v>
                </c:pt>
                <c:pt idx="4">
                  <c:v>Piwo</c:v>
                </c:pt>
                <c:pt idx="5">
                  <c:v>Cydr</c:v>
                </c:pt>
                <c:pt idx="6">
                  <c:v>Alcopop</c:v>
                </c:pt>
              </c:strCache>
            </c:strRef>
          </c:cat>
          <c:val>
            <c:numRef>
              <c:f>Arkusz5!$G$100:$G$106</c:f>
              <c:numCache>
                <c:formatCode>General</c:formatCode>
                <c:ptCount val="7"/>
                <c:pt idx="0">
                  <c:v>5</c:v>
                </c:pt>
                <c:pt idx="1">
                  <c:v>2</c:v>
                </c:pt>
                <c:pt idx="2">
                  <c:v>1</c:v>
                </c:pt>
                <c:pt idx="3">
                  <c:v>8</c:v>
                </c:pt>
                <c:pt idx="4">
                  <c:v>14</c:v>
                </c:pt>
                <c:pt idx="5">
                  <c:v>1</c:v>
                </c:pt>
              </c:numCache>
            </c:numRef>
          </c:val>
          <c:extLst>
            <c:ext xmlns:c16="http://schemas.microsoft.com/office/drawing/2014/chart" uri="{C3380CC4-5D6E-409C-BE32-E72D297353CC}">
              <c16:uniqueId val="{00000003-B7BC-47E2-9252-6B7173C06D12}"/>
            </c:ext>
          </c:extLst>
        </c:ser>
        <c:ser>
          <c:idx val="4"/>
          <c:order val="4"/>
          <c:tx>
            <c:strRef>
              <c:f>Arkusz5!$H$99</c:f>
              <c:strCache>
                <c:ptCount val="1"/>
                <c:pt idx="0">
                  <c:v>Codziennie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Arkusz5!$C$100:$C$106</c:f>
              <c:strCache>
                <c:ptCount val="7"/>
                <c:pt idx="0">
                  <c:v>Bimber</c:v>
                </c:pt>
                <c:pt idx="1">
                  <c:v>Wódka</c:v>
                </c:pt>
                <c:pt idx="2">
                  <c:v>Miód Pitny</c:v>
                </c:pt>
                <c:pt idx="3">
                  <c:v>Wino</c:v>
                </c:pt>
                <c:pt idx="4">
                  <c:v>Piwo</c:v>
                </c:pt>
                <c:pt idx="5">
                  <c:v>Cydr</c:v>
                </c:pt>
                <c:pt idx="6">
                  <c:v>Alcopop</c:v>
                </c:pt>
              </c:strCache>
            </c:strRef>
          </c:cat>
          <c:val>
            <c:numRef>
              <c:f>Arkusz5!$H$100:$H$106</c:f>
              <c:numCache>
                <c:formatCode>General</c:formatCode>
                <c:ptCount val="7"/>
                <c:pt idx="0">
                  <c:v>2</c:v>
                </c:pt>
                <c:pt idx="1">
                  <c:v>1</c:v>
                </c:pt>
                <c:pt idx="2">
                  <c:v>1</c:v>
                </c:pt>
                <c:pt idx="3">
                  <c:v>1</c:v>
                </c:pt>
                <c:pt idx="4">
                  <c:v>6</c:v>
                </c:pt>
              </c:numCache>
            </c:numRef>
          </c:val>
          <c:extLst>
            <c:ext xmlns:c16="http://schemas.microsoft.com/office/drawing/2014/chart" uri="{C3380CC4-5D6E-409C-BE32-E72D297353CC}">
              <c16:uniqueId val="{00000004-B7BC-47E2-9252-6B7173C06D12}"/>
            </c:ext>
          </c:extLst>
        </c:ser>
        <c:dLbls>
          <c:showLegendKey val="0"/>
          <c:showVal val="1"/>
          <c:showCatName val="0"/>
          <c:showSerName val="0"/>
          <c:showPercent val="0"/>
          <c:showBubbleSize val="0"/>
        </c:dLbls>
        <c:gapWidth val="219"/>
        <c:overlap val="-27"/>
        <c:axId val="85168128"/>
        <c:axId val="85170432"/>
      </c:barChart>
      <c:catAx>
        <c:axId val="8516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5170432"/>
        <c:crosses val="autoZero"/>
        <c:auto val="1"/>
        <c:lblAlgn val="ctr"/>
        <c:lblOffset val="100"/>
        <c:noMultiLvlLbl val="0"/>
      </c:catAx>
      <c:valAx>
        <c:axId val="8517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516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Arkusz5!$D$126</c:f>
              <c:strCache>
                <c:ptCount val="1"/>
                <c:pt idx="0">
                  <c:v>Jeden raz</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Arkusz5!$C$127:$C$133</c:f>
              <c:strCache>
                <c:ptCount val="7"/>
                <c:pt idx="0">
                  <c:v>Bimber</c:v>
                </c:pt>
                <c:pt idx="1">
                  <c:v>Wódka</c:v>
                </c:pt>
                <c:pt idx="2">
                  <c:v>Miód Pitny</c:v>
                </c:pt>
                <c:pt idx="3">
                  <c:v>Wino</c:v>
                </c:pt>
                <c:pt idx="4">
                  <c:v>Piwo</c:v>
                </c:pt>
                <c:pt idx="5">
                  <c:v>Cydr</c:v>
                </c:pt>
                <c:pt idx="6">
                  <c:v>Alcopop</c:v>
                </c:pt>
              </c:strCache>
            </c:strRef>
          </c:cat>
          <c:val>
            <c:numRef>
              <c:f>Arkusz5!$D$127:$D$133</c:f>
              <c:numCache>
                <c:formatCode>General</c:formatCode>
                <c:ptCount val="7"/>
                <c:pt idx="0">
                  <c:v>1</c:v>
                </c:pt>
                <c:pt idx="1">
                  <c:v>1.5</c:v>
                </c:pt>
                <c:pt idx="2">
                  <c:v>0.8</c:v>
                </c:pt>
                <c:pt idx="3">
                  <c:v>4.5999999999999996</c:v>
                </c:pt>
                <c:pt idx="4">
                  <c:v>0.30000000000000021</c:v>
                </c:pt>
                <c:pt idx="6">
                  <c:v>0.4</c:v>
                </c:pt>
              </c:numCache>
            </c:numRef>
          </c:val>
          <c:extLst>
            <c:ext xmlns:c16="http://schemas.microsoft.com/office/drawing/2014/chart" uri="{C3380CC4-5D6E-409C-BE32-E72D297353CC}">
              <c16:uniqueId val="{00000000-4952-410B-981F-CAB8C3D74A25}"/>
            </c:ext>
          </c:extLst>
        </c:ser>
        <c:ser>
          <c:idx val="1"/>
          <c:order val="1"/>
          <c:tx>
            <c:strRef>
              <c:f>Arkusz5!$E$126</c:f>
              <c:strCache>
                <c:ptCount val="1"/>
                <c:pt idx="0">
                  <c:v>Od 2 do 4 razy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Arkusz5!$C$127:$C$133</c:f>
              <c:strCache>
                <c:ptCount val="7"/>
                <c:pt idx="0">
                  <c:v>Bimber</c:v>
                </c:pt>
                <c:pt idx="1">
                  <c:v>Wódka</c:v>
                </c:pt>
                <c:pt idx="2">
                  <c:v>Miód Pitny</c:v>
                </c:pt>
                <c:pt idx="3">
                  <c:v>Wino</c:v>
                </c:pt>
                <c:pt idx="4">
                  <c:v>Piwo</c:v>
                </c:pt>
                <c:pt idx="5">
                  <c:v>Cydr</c:v>
                </c:pt>
                <c:pt idx="6">
                  <c:v>Alcopop</c:v>
                </c:pt>
              </c:strCache>
            </c:strRef>
          </c:cat>
          <c:val>
            <c:numRef>
              <c:f>Arkusz5!$E$127:$E$133</c:f>
              <c:numCache>
                <c:formatCode>General</c:formatCode>
                <c:ptCount val="7"/>
                <c:pt idx="0">
                  <c:v>1.5</c:v>
                </c:pt>
                <c:pt idx="1">
                  <c:v>3.9</c:v>
                </c:pt>
                <c:pt idx="2">
                  <c:v>1.8</c:v>
                </c:pt>
                <c:pt idx="3">
                  <c:v>8.7000000000000011</c:v>
                </c:pt>
                <c:pt idx="4">
                  <c:v>4.0999999999999996</c:v>
                </c:pt>
                <c:pt idx="5">
                  <c:v>0.30000000000000021</c:v>
                </c:pt>
              </c:numCache>
            </c:numRef>
          </c:val>
          <c:extLst>
            <c:ext xmlns:c16="http://schemas.microsoft.com/office/drawing/2014/chart" uri="{C3380CC4-5D6E-409C-BE32-E72D297353CC}">
              <c16:uniqueId val="{00000001-4952-410B-981F-CAB8C3D74A25}"/>
            </c:ext>
          </c:extLst>
        </c:ser>
        <c:ser>
          <c:idx val="2"/>
          <c:order val="2"/>
          <c:tx>
            <c:strRef>
              <c:f>Arkusz5!$F$126</c:f>
              <c:strCache>
                <c:ptCount val="1"/>
                <c:pt idx="0">
                  <c:v>Od 5 do 10 razy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Arkusz5!$C$127:$C$133</c:f>
              <c:strCache>
                <c:ptCount val="7"/>
                <c:pt idx="0">
                  <c:v>Bimber</c:v>
                </c:pt>
                <c:pt idx="1">
                  <c:v>Wódka</c:v>
                </c:pt>
                <c:pt idx="2">
                  <c:v>Miód Pitny</c:v>
                </c:pt>
                <c:pt idx="3">
                  <c:v>Wino</c:v>
                </c:pt>
                <c:pt idx="4">
                  <c:v>Piwo</c:v>
                </c:pt>
                <c:pt idx="5">
                  <c:v>Cydr</c:v>
                </c:pt>
                <c:pt idx="6">
                  <c:v>Alcopop</c:v>
                </c:pt>
              </c:strCache>
            </c:strRef>
          </c:cat>
          <c:val>
            <c:numRef>
              <c:f>Arkusz5!$F$127:$F$133</c:f>
              <c:numCache>
                <c:formatCode>General</c:formatCode>
                <c:ptCount val="7"/>
                <c:pt idx="0">
                  <c:v>2.1</c:v>
                </c:pt>
                <c:pt idx="1">
                  <c:v>5.9</c:v>
                </c:pt>
                <c:pt idx="2">
                  <c:v>1.6</c:v>
                </c:pt>
                <c:pt idx="3">
                  <c:v>2.2000000000000002</c:v>
                </c:pt>
                <c:pt idx="4">
                  <c:v>6.2</c:v>
                </c:pt>
                <c:pt idx="5">
                  <c:v>0.5</c:v>
                </c:pt>
              </c:numCache>
            </c:numRef>
          </c:val>
          <c:extLst>
            <c:ext xmlns:c16="http://schemas.microsoft.com/office/drawing/2014/chart" uri="{C3380CC4-5D6E-409C-BE32-E72D297353CC}">
              <c16:uniqueId val="{00000002-4952-410B-981F-CAB8C3D74A25}"/>
            </c:ext>
          </c:extLst>
        </c:ser>
        <c:ser>
          <c:idx val="3"/>
          <c:order val="3"/>
          <c:tx>
            <c:strRef>
              <c:f>Arkusz5!$G$126</c:f>
              <c:strCache>
                <c:ptCount val="1"/>
                <c:pt idx="0">
                  <c:v>Od 11 do 20 razy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Arkusz5!$C$127:$C$133</c:f>
              <c:strCache>
                <c:ptCount val="7"/>
                <c:pt idx="0">
                  <c:v>Bimber</c:v>
                </c:pt>
                <c:pt idx="1">
                  <c:v>Wódka</c:v>
                </c:pt>
                <c:pt idx="2">
                  <c:v>Miód Pitny</c:v>
                </c:pt>
                <c:pt idx="3">
                  <c:v>Wino</c:v>
                </c:pt>
                <c:pt idx="4">
                  <c:v>Piwo</c:v>
                </c:pt>
                <c:pt idx="5">
                  <c:v>Cydr</c:v>
                </c:pt>
                <c:pt idx="6">
                  <c:v>Alcopop</c:v>
                </c:pt>
              </c:strCache>
            </c:strRef>
          </c:cat>
          <c:val>
            <c:numRef>
              <c:f>Arkusz5!$G$127:$G$133</c:f>
              <c:numCache>
                <c:formatCode>General</c:formatCode>
                <c:ptCount val="7"/>
                <c:pt idx="1">
                  <c:v>1.1000000000000001</c:v>
                </c:pt>
                <c:pt idx="2">
                  <c:v>0.5</c:v>
                </c:pt>
                <c:pt idx="3">
                  <c:v>1.3</c:v>
                </c:pt>
                <c:pt idx="4">
                  <c:v>1.3</c:v>
                </c:pt>
                <c:pt idx="5">
                  <c:v>0.2</c:v>
                </c:pt>
              </c:numCache>
            </c:numRef>
          </c:val>
          <c:extLst>
            <c:ext xmlns:c16="http://schemas.microsoft.com/office/drawing/2014/chart" uri="{C3380CC4-5D6E-409C-BE32-E72D297353CC}">
              <c16:uniqueId val="{00000003-4952-410B-981F-CAB8C3D74A25}"/>
            </c:ext>
          </c:extLst>
        </c:ser>
        <c:ser>
          <c:idx val="4"/>
          <c:order val="4"/>
          <c:tx>
            <c:strRef>
              <c:f>Arkusz5!$H$126</c:f>
              <c:strCache>
                <c:ptCount val="1"/>
                <c:pt idx="0">
                  <c:v>Codziennie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Arkusz5!$C$127:$C$133</c:f>
              <c:strCache>
                <c:ptCount val="7"/>
                <c:pt idx="0">
                  <c:v>Bimber</c:v>
                </c:pt>
                <c:pt idx="1">
                  <c:v>Wódka</c:v>
                </c:pt>
                <c:pt idx="2">
                  <c:v>Miód Pitny</c:v>
                </c:pt>
                <c:pt idx="3">
                  <c:v>Wino</c:v>
                </c:pt>
                <c:pt idx="4">
                  <c:v>Piwo</c:v>
                </c:pt>
                <c:pt idx="5">
                  <c:v>Cydr</c:v>
                </c:pt>
                <c:pt idx="6">
                  <c:v>Alcopop</c:v>
                </c:pt>
              </c:strCache>
            </c:strRef>
          </c:cat>
          <c:val>
            <c:numRef>
              <c:f>Arkusz5!$H$127:$H$133</c:f>
              <c:numCache>
                <c:formatCode>General</c:formatCode>
                <c:ptCount val="7"/>
                <c:pt idx="1">
                  <c:v>1.1000000000000001</c:v>
                </c:pt>
                <c:pt idx="3">
                  <c:v>0.4</c:v>
                </c:pt>
                <c:pt idx="4">
                  <c:v>0.4</c:v>
                </c:pt>
              </c:numCache>
            </c:numRef>
          </c:val>
          <c:extLst>
            <c:ext xmlns:c16="http://schemas.microsoft.com/office/drawing/2014/chart" uri="{C3380CC4-5D6E-409C-BE32-E72D297353CC}">
              <c16:uniqueId val="{00000004-4952-410B-981F-CAB8C3D74A25}"/>
            </c:ext>
          </c:extLst>
        </c:ser>
        <c:dLbls>
          <c:showLegendKey val="0"/>
          <c:showVal val="1"/>
          <c:showCatName val="0"/>
          <c:showSerName val="0"/>
          <c:showPercent val="0"/>
          <c:showBubbleSize val="0"/>
        </c:dLbls>
        <c:gapWidth val="219"/>
        <c:overlap val="-27"/>
        <c:axId val="100718080"/>
        <c:axId val="104014976"/>
      </c:barChart>
      <c:catAx>
        <c:axId val="10071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4014976"/>
        <c:crosses val="autoZero"/>
        <c:auto val="1"/>
        <c:lblAlgn val="ctr"/>
        <c:lblOffset val="100"/>
        <c:noMultiLvlLbl val="0"/>
      </c:catAx>
      <c:valAx>
        <c:axId val="10401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071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Arkusz5!$G$146</c:f>
              <c:strCache>
                <c:ptCount val="1"/>
                <c:pt idx="0">
                  <c:v>2006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Arkusz5!$F$147:$F$153</c:f>
              <c:strCache>
                <c:ptCount val="7"/>
                <c:pt idx="0">
                  <c:v>Bimber</c:v>
                </c:pt>
                <c:pt idx="1">
                  <c:v>Wódka</c:v>
                </c:pt>
                <c:pt idx="2">
                  <c:v>Miód Pitny</c:v>
                </c:pt>
                <c:pt idx="3">
                  <c:v>Wino</c:v>
                </c:pt>
                <c:pt idx="4">
                  <c:v>Piwo</c:v>
                </c:pt>
                <c:pt idx="5">
                  <c:v>Cydr</c:v>
                </c:pt>
                <c:pt idx="6">
                  <c:v>Alcopop</c:v>
                </c:pt>
              </c:strCache>
            </c:strRef>
          </c:cat>
          <c:val>
            <c:numRef>
              <c:f>Arkusz5!$G$147:$G$153</c:f>
              <c:numCache>
                <c:formatCode>0.00</c:formatCode>
                <c:ptCount val="7"/>
                <c:pt idx="0">
                  <c:v>3.9499999999999997</c:v>
                </c:pt>
                <c:pt idx="1">
                  <c:v>12.350000000000007</c:v>
                </c:pt>
                <c:pt idx="2">
                  <c:v>1.1400000000000001</c:v>
                </c:pt>
                <c:pt idx="3">
                  <c:v>23.45</c:v>
                </c:pt>
                <c:pt idx="4">
                  <c:v>45.36</c:v>
                </c:pt>
                <c:pt idx="5">
                  <c:v>4.1560000000000006</c:v>
                </c:pt>
                <c:pt idx="6">
                  <c:v>0.42400000000000027</c:v>
                </c:pt>
              </c:numCache>
            </c:numRef>
          </c:val>
          <c:extLst>
            <c:ext xmlns:c16="http://schemas.microsoft.com/office/drawing/2014/chart" uri="{C3380CC4-5D6E-409C-BE32-E72D297353CC}">
              <c16:uniqueId val="{00000000-01CE-40F3-801C-3AD9887B1B16}"/>
            </c:ext>
          </c:extLst>
        </c:ser>
        <c:ser>
          <c:idx val="1"/>
          <c:order val="1"/>
          <c:tx>
            <c:strRef>
              <c:f>Arkusz5!$H$146</c:f>
              <c:strCache>
                <c:ptCount val="1"/>
                <c:pt idx="0">
                  <c:v>2019</c:v>
                </c:pt>
              </c:strCache>
            </c:strRef>
          </c:tx>
          <c:spPr>
            <a:solidFill>
              <a:schemeClr val="accent2"/>
            </a:solidFill>
            <a:ln>
              <a:noFill/>
            </a:ln>
            <a:effectLst/>
          </c:spPr>
          <c:invertIfNegative val="0"/>
          <c:dLbls>
            <c:dLbl>
              <c:idx val="0"/>
              <c:layout>
                <c:manualLayout>
                  <c:x val="-1.9833881048995047E-17"/>
                  <c:y val="-3.07495071301932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CE-40F3-801C-3AD9887B1B16}"/>
                </c:ext>
              </c:extLst>
            </c:dLbl>
            <c:dLbl>
              <c:idx val="1"/>
              <c:layout>
                <c:manualLayout>
                  <c:x val="2.1637211096379675E-3"/>
                  <c:y val="-4.2280572304015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CE-40F3-801C-3AD9887B1B16}"/>
                </c:ext>
              </c:extLst>
            </c:dLbl>
            <c:dLbl>
              <c:idx val="2"/>
              <c:layout>
                <c:manualLayout>
                  <c:x val="-4.3274422192760027E-3"/>
                  <c:y val="-3.45931955214674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CE-40F3-801C-3AD9887B1B16}"/>
                </c:ext>
              </c:extLst>
            </c:dLbl>
            <c:dLbl>
              <c:idx val="3"/>
              <c:layout>
                <c:manualLayout>
                  <c:x val="-2.1637211096379675E-3"/>
                  <c:y val="-3.07495071301933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CE-40F3-801C-3AD9887B1B16}"/>
                </c:ext>
              </c:extLst>
            </c:dLbl>
            <c:dLbl>
              <c:idx val="4"/>
              <c:layout>
                <c:manualLayout>
                  <c:x val="2.163721109638046E-3"/>
                  <c:y val="-3.07495071301932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CE-40F3-801C-3AD9887B1B16}"/>
                </c:ext>
              </c:extLst>
            </c:dLbl>
            <c:dLbl>
              <c:idx val="5"/>
              <c:layout>
                <c:manualLayout>
                  <c:x val="-2.1637211096379675E-3"/>
                  <c:y val="-4.22805723040157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CE-40F3-801C-3AD9887B1B16}"/>
                </c:ext>
              </c:extLst>
            </c:dLbl>
            <c:dLbl>
              <c:idx val="6"/>
              <c:layout>
                <c:manualLayout>
                  <c:x val="0"/>
                  <c:y val="-4.22805723040157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CE-40F3-801C-3AD9887B1B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Arkusz5!$F$147:$F$153</c:f>
              <c:strCache>
                <c:ptCount val="7"/>
                <c:pt idx="0">
                  <c:v>Bimber</c:v>
                </c:pt>
                <c:pt idx="1">
                  <c:v>Wódka</c:v>
                </c:pt>
                <c:pt idx="2">
                  <c:v>Miód Pitny</c:v>
                </c:pt>
                <c:pt idx="3">
                  <c:v>Wino</c:v>
                </c:pt>
                <c:pt idx="4">
                  <c:v>Piwo</c:v>
                </c:pt>
                <c:pt idx="5">
                  <c:v>Cydr</c:v>
                </c:pt>
                <c:pt idx="6">
                  <c:v>Alcopop</c:v>
                </c:pt>
              </c:strCache>
            </c:strRef>
          </c:cat>
          <c:val>
            <c:numRef>
              <c:f>Arkusz5!$H$147:$H$153</c:f>
              <c:numCache>
                <c:formatCode>0.00</c:formatCode>
                <c:ptCount val="7"/>
                <c:pt idx="0">
                  <c:v>4.0149999999999961</c:v>
                </c:pt>
                <c:pt idx="1">
                  <c:v>13.16</c:v>
                </c:pt>
                <c:pt idx="2">
                  <c:v>1.85</c:v>
                </c:pt>
                <c:pt idx="3">
                  <c:v>23.894166666666678</c:v>
                </c:pt>
                <c:pt idx="4">
                  <c:v>46.21</c:v>
                </c:pt>
                <c:pt idx="5">
                  <c:v>5.0119999999999996</c:v>
                </c:pt>
                <c:pt idx="6">
                  <c:v>0.89</c:v>
                </c:pt>
              </c:numCache>
            </c:numRef>
          </c:val>
          <c:extLst>
            <c:ext xmlns:c16="http://schemas.microsoft.com/office/drawing/2014/chart" uri="{C3380CC4-5D6E-409C-BE32-E72D297353CC}">
              <c16:uniqueId val="{00000008-01CE-40F3-801C-3AD9887B1B16}"/>
            </c:ext>
          </c:extLst>
        </c:ser>
        <c:ser>
          <c:idx val="2"/>
          <c:order val="2"/>
          <c:tx>
            <c:strRef>
              <c:f>Arkusz5!$I$146</c:f>
              <c:strCache>
                <c:ptCount val="1"/>
                <c:pt idx="0">
                  <c:v>2025</c:v>
                </c:pt>
              </c:strCache>
            </c:strRef>
          </c:tx>
          <c:spPr>
            <a:solidFill>
              <a:schemeClr val="accent3"/>
            </a:solidFill>
            <a:ln>
              <a:noFill/>
            </a:ln>
            <a:effectLst/>
          </c:spPr>
          <c:invertIfNegative val="0"/>
          <c:dLbls>
            <c:dLbl>
              <c:idx val="0"/>
              <c:layout>
                <c:manualLayout>
                  <c:x val="-1.9833881048995047E-17"/>
                  <c:y val="-2.69058187389191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CE-40F3-801C-3AD9887B1B16}"/>
                </c:ext>
              </c:extLst>
            </c:dLbl>
            <c:dLbl>
              <c:idx val="1"/>
              <c:layout>
                <c:manualLayout>
                  <c:x val="6.4911633289138591E-3"/>
                  <c:y val="-3.4593195521467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CE-40F3-801C-3AD9887B1B16}"/>
                </c:ext>
              </c:extLst>
            </c:dLbl>
            <c:dLbl>
              <c:idx val="2"/>
              <c:layout>
                <c:manualLayout>
                  <c:x val="4.3274422192759255E-3"/>
                  <c:y val="-1.53747535650966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CE-40F3-801C-3AD9887B1B16}"/>
                </c:ext>
              </c:extLst>
            </c:dLbl>
            <c:dLbl>
              <c:idx val="4"/>
              <c:layout>
                <c:manualLayout>
                  <c:x val="1.5146047767465674E-2"/>
                  <c:y val="-3.45931955214674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CE-40F3-801C-3AD9887B1B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Arkusz5!$F$147:$F$153</c:f>
              <c:strCache>
                <c:ptCount val="7"/>
                <c:pt idx="0">
                  <c:v>Bimber</c:v>
                </c:pt>
                <c:pt idx="1">
                  <c:v>Wódka</c:v>
                </c:pt>
                <c:pt idx="2">
                  <c:v>Miód Pitny</c:v>
                </c:pt>
                <c:pt idx="3">
                  <c:v>Wino</c:v>
                </c:pt>
                <c:pt idx="4">
                  <c:v>Piwo</c:v>
                </c:pt>
                <c:pt idx="5">
                  <c:v>Cydr</c:v>
                </c:pt>
                <c:pt idx="6">
                  <c:v>Alcopop</c:v>
                </c:pt>
              </c:strCache>
            </c:strRef>
          </c:cat>
          <c:val>
            <c:numRef>
              <c:f>Arkusz5!$I$147:$I$153</c:f>
              <c:numCache>
                <c:formatCode>0.00</c:formatCode>
                <c:ptCount val="7"/>
                <c:pt idx="0">
                  <c:v>8.1083333333333254</c:v>
                </c:pt>
                <c:pt idx="1">
                  <c:v>15.92166666666667</c:v>
                </c:pt>
                <c:pt idx="2">
                  <c:v>3.9199999999999977</c:v>
                </c:pt>
                <c:pt idx="3">
                  <c:v>24.012</c:v>
                </c:pt>
                <c:pt idx="4">
                  <c:v>48.920833333333334</c:v>
                </c:pt>
                <c:pt idx="5">
                  <c:v>4.2549999999999963</c:v>
                </c:pt>
                <c:pt idx="6">
                  <c:v>2.0291666666666672</c:v>
                </c:pt>
              </c:numCache>
            </c:numRef>
          </c:val>
          <c:extLst>
            <c:ext xmlns:c16="http://schemas.microsoft.com/office/drawing/2014/chart" uri="{C3380CC4-5D6E-409C-BE32-E72D297353CC}">
              <c16:uniqueId val="{0000000D-01CE-40F3-801C-3AD9887B1B16}"/>
            </c:ext>
          </c:extLst>
        </c:ser>
        <c:dLbls>
          <c:showLegendKey val="0"/>
          <c:showVal val="1"/>
          <c:showCatName val="0"/>
          <c:showSerName val="0"/>
          <c:showPercent val="0"/>
          <c:showBubbleSize val="0"/>
        </c:dLbls>
        <c:gapWidth val="219"/>
        <c:overlap val="-27"/>
        <c:axId val="125401728"/>
        <c:axId val="125432576"/>
      </c:barChart>
      <c:catAx>
        <c:axId val="1254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5432576"/>
        <c:crosses val="autoZero"/>
        <c:auto val="1"/>
        <c:lblAlgn val="ctr"/>
        <c:lblOffset val="100"/>
        <c:noMultiLvlLbl val="0"/>
      </c:catAx>
      <c:valAx>
        <c:axId val="125432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540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Arkusz1!$B$293</c:f>
              <c:strCache>
                <c:ptCount val="1"/>
                <c:pt idx="0">
                  <c:v>1-2 razy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Arkusz1!$B$294:$B$307</c:f>
              <c:numCache>
                <c:formatCode>General</c:formatCode>
                <c:ptCount val="14"/>
                <c:pt idx="0">
                  <c:v>10</c:v>
                </c:pt>
                <c:pt idx="1">
                  <c:v>8</c:v>
                </c:pt>
                <c:pt idx="2">
                  <c:v>15</c:v>
                </c:pt>
                <c:pt idx="3">
                  <c:v>11</c:v>
                </c:pt>
                <c:pt idx="4">
                  <c:v>7</c:v>
                </c:pt>
                <c:pt idx="5">
                  <c:v>5</c:v>
                </c:pt>
                <c:pt idx="6">
                  <c:v>5</c:v>
                </c:pt>
                <c:pt idx="7">
                  <c:v>2</c:v>
                </c:pt>
                <c:pt idx="8">
                  <c:v>18</c:v>
                </c:pt>
                <c:pt idx="9">
                  <c:v>5</c:v>
                </c:pt>
                <c:pt idx="10">
                  <c:v>8</c:v>
                </c:pt>
                <c:pt idx="11">
                  <c:v>2</c:v>
                </c:pt>
                <c:pt idx="12">
                  <c:v>3</c:v>
                </c:pt>
                <c:pt idx="13">
                  <c:v>4</c:v>
                </c:pt>
              </c:numCache>
            </c:numRef>
          </c:val>
          <c:extLst>
            <c:ext xmlns:c16="http://schemas.microsoft.com/office/drawing/2014/chart" uri="{C3380CC4-5D6E-409C-BE32-E72D297353CC}">
              <c16:uniqueId val="{00000000-A616-4C83-A7AD-4B419A77C309}"/>
            </c:ext>
          </c:extLst>
        </c:ser>
        <c:ser>
          <c:idx val="1"/>
          <c:order val="1"/>
          <c:tx>
            <c:strRef>
              <c:f>Arkusz1!$C$293</c:f>
              <c:strCache>
                <c:ptCount val="1"/>
                <c:pt idx="0">
                  <c:v>3-5 razy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Arkusz1!$C$294:$C$307</c:f>
              <c:numCache>
                <c:formatCode>General</c:formatCode>
                <c:ptCount val="14"/>
                <c:pt idx="0">
                  <c:v>15</c:v>
                </c:pt>
                <c:pt idx="1">
                  <c:v>10</c:v>
                </c:pt>
                <c:pt idx="2">
                  <c:v>20</c:v>
                </c:pt>
                <c:pt idx="3">
                  <c:v>18</c:v>
                </c:pt>
                <c:pt idx="4">
                  <c:v>11</c:v>
                </c:pt>
                <c:pt idx="5">
                  <c:v>12</c:v>
                </c:pt>
                <c:pt idx="6">
                  <c:v>7</c:v>
                </c:pt>
                <c:pt idx="7">
                  <c:v>2</c:v>
                </c:pt>
                <c:pt idx="8">
                  <c:v>21</c:v>
                </c:pt>
                <c:pt idx="9">
                  <c:v>8</c:v>
                </c:pt>
                <c:pt idx="10">
                  <c:v>5</c:v>
                </c:pt>
                <c:pt idx="11">
                  <c:v>4</c:v>
                </c:pt>
                <c:pt idx="12">
                  <c:v>2</c:v>
                </c:pt>
                <c:pt idx="13">
                  <c:v>6</c:v>
                </c:pt>
              </c:numCache>
            </c:numRef>
          </c:val>
          <c:extLst>
            <c:ext xmlns:c16="http://schemas.microsoft.com/office/drawing/2014/chart" uri="{C3380CC4-5D6E-409C-BE32-E72D297353CC}">
              <c16:uniqueId val="{00000001-A616-4C83-A7AD-4B419A77C309}"/>
            </c:ext>
          </c:extLst>
        </c:ser>
        <c:ser>
          <c:idx val="2"/>
          <c:order val="2"/>
          <c:tx>
            <c:strRef>
              <c:f>Arkusz1!$D$293</c:f>
              <c:strCache>
                <c:ptCount val="1"/>
                <c:pt idx="0">
                  <c:v>6-9 razy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Arkusz1!$D$294:$D$307</c:f>
              <c:numCache>
                <c:formatCode>General</c:formatCode>
                <c:ptCount val="14"/>
                <c:pt idx="0">
                  <c:v>8</c:v>
                </c:pt>
                <c:pt idx="1">
                  <c:v>5</c:v>
                </c:pt>
                <c:pt idx="2">
                  <c:v>9</c:v>
                </c:pt>
                <c:pt idx="3">
                  <c:v>20</c:v>
                </c:pt>
                <c:pt idx="4">
                  <c:v>5</c:v>
                </c:pt>
                <c:pt idx="5">
                  <c:v>6</c:v>
                </c:pt>
                <c:pt idx="6">
                  <c:v>4</c:v>
                </c:pt>
                <c:pt idx="7">
                  <c:v>3</c:v>
                </c:pt>
                <c:pt idx="8">
                  <c:v>21</c:v>
                </c:pt>
                <c:pt idx="9">
                  <c:v>9</c:v>
                </c:pt>
                <c:pt idx="10">
                  <c:v>5</c:v>
                </c:pt>
                <c:pt idx="11">
                  <c:v>3</c:v>
                </c:pt>
                <c:pt idx="12">
                  <c:v>1</c:v>
                </c:pt>
                <c:pt idx="13">
                  <c:v>4</c:v>
                </c:pt>
              </c:numCache>
            </c:numRef>
          </c:val>
          <c:extLst>
            <c:ext xmlns:c16="http://schemas.microsoft.com/office/drawing/2014/chart" uri="{C3380CC4-5D6E-409C-BE32-E72D297353CC}">
              <c16:uniqueId val="{00000002-A616-4C83-A7AD-4B419A77C309}"/>
            </c:ext>
          </c:extLst>
        </c:ser>
        <c:ser>
          <c:idx val="3"/>
          <c:order val="3"/>
          <c:tx>
            <c:strRef>
              <c:f>Arkusz1!$E$293</c:f>
              <c:strCache>
                <c:ptCount val="1"/>
                <c:pt idx="0">
                  <c:v>10-19 razy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Arkusz1!$E$294:$E$307</c:f>
              <c:numCache>
                <c:formatCode>General</c:formatCode>
                <c:ptCount val="14"/>
                <c:pt idx="0">
                  <c:v>4</c:v>
                </c:pt>
                <c:pt idx="1">
                  <c:v>3</c:v>
                </c:pt>
                <c:pt idx="2">
                  <c:v>4</c:v>
                </c:pt>
                <c:pt idx="3">
                  <c:v>8</c:v>
                </c:pt>
                <c:pt idx="4">
                  <c:v>3</c:v>
                </c:pt>
                <c:pt idx="5">
                  <c:v>4</c:v>
                </c:pt>
                <c:pt idx="6">
                  <c:v>2</c:v>
                </c:pt>
                <c:pt idx="7">
                  <c:v>1</c:v>
                </c:pt>
                <c:pt idx="8">
                  <c:v>19</c:v>
                </c:pt>
                <c:pt idx="9">
                  <c:v>4</c:v>
                </c:pt>
                <c:pt idx="10">
                  <c:v>5</c:v>
                </c:pt>
                <c:pt idx="11">
                  <c:v>1</c:v>
                </c:pt>
                <c:pt idx="12">
                  <c:v>0</c:v>
                </c:pt>
                <c:pt idx="13">
                  <c:v>2</c:v>
                </c:pt>
              </c:numCache>
            </c:numRef>
          </c:val>
          <c:extLst>
            <c:ext xmlns:c16="http://schemas.microsoft.com/office/drawing/2014/chart" uri="{C3380CC4-5D6E-409C-BE32-E72D297353CC}">
              <c16:uniqueId val="{00000003-A616-4C83-A7AD-4B419A77C309}"/>
            </c:ext>
          </c:extLst>
        </c:ser>
        <c:ser>
          <c:idx val="4"/>
          <c:order val="4"/>
          <c:tx>
            <c:strRef>
              <c:f>Arkusz1!$F$293</c:f>
              <c:strCache>
                <c:ptCount val="1"/>
                <c:pt idx="0">
                  <c:v>20-39 razy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Arkusz1!$F$294:$F$307</c:f>
              <c:numCache>
                <c:formatCode>General</c:formatCode>
                <c:ptCount val="14"/>
                <c:pt idx="0">
                  <c:v>1</c:v>
                </c:pt>
                <c:pt idx="1">
                  <c:v>2</c:v>
                </c:pt>
                <c:pt idx="2">
                  <c:v>2</c:v>
                </c:pt>
                <c:pt idx="3">
                  <c:v>6</c:v>
                </c:pt>
                <c:pt idx="4">
                  <c:v>2</c:v>
                </c:pt>
                <c:pt idx="5">
                  <c:v>3</c:v>
                </c:pt>
                <c:pt idx="6">
                  <c:v>0</c:v>
                </c:pt>
                <c:pt idx="7">
                  <c:v>0</c:v>
                </c:pt>
                <c:pt idx="8">
                  <c:v>11</c:v>
                </c:pt>
                <c:pt idx="9">
                  <c:v>1</c:v>
                </c:pt>
                <c:pt idx="10">
                  <c:v>2</c:v>
                </c:pt>
                <c:pt idx="11">
                  <c:v>0</c:v>
                </c:pt>
                <c:pt idx="12">
                  <c:v>0</c:v>
                </c:pt>
                <c:pt idx="13">
                  <c:v>1</c:v>
                </c:pt>
              </c:numCache>
            </c:numRef>
          </c:val>
          <c:extLst>
            <c:ext xmlns:c16="http://schemas.microsoft.com/office/drawing/2014/chart" uri="{C3380CC4-5D6E-409C-BE32-E72D297353CC}">
              <c16:uniqueId val="{00000004-A616-4C83-A7AD-4B419A77C309}"/>
            </c:ext>
          </c:extLst>
        </c:ser>
        <c:ser>
          <c:idx val="5"/>
          <c:order val="5"/>
          <c:tx>
            <c:strRef>
              <c:f>Arkusz1!$G$293</c:f>
              <c:strCache>
                <c:ptCount val="1"/>
                <c:pt idx="0">
                  <c:v>40 i więcej</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Arkusz1!$G$294:$G$307</c:f>
              <c:numCache>
                <c:formatCode>General</c:formatCode>
                <c:ptCount val="14"/>
                <c:pt idx="0">
                  <c:v>1</c:v>
                </c:pt>
                <c:pt idx="1">
                  <c:v>1</c:v>
                </c:pt>
                <c:pt idx="2">
                  <c:v>1</c:v>
                </c:pt>
                <c:pt idx="3">
                  <c:v>4</c:v>
                </c:pt>
                <c:pt idx="4">
                  <c:v>1</c:v>
                </c:pt>
                <c:pt idx="5">
                  <c:v>2</c:v>
                </c:pt>
                <c:pt idx="6">
                  <c:v>0</c:v>
                </c:pt>
                <c:pt idx="7">
                  <c:v>0</c:v>
                </c:pt>
                <c:pt idx="8">
                  <c:v>8</c:v>
                </c:pt>
                <c:pt idx="9">
                  <c:v>0</c:v>
                </c:pt>
                <c:pt idx="10">
                  <c:v>0</c:v>
                </c:pt>
                <c:pt idx="11">
                  <c:v>0</c:v>
                </c:pt>
                <c:pt idx="12">
                  <c:v>0</c:v>
                </c:pt>
                <c:pt idx="13">
                  <c:v>1</c:v>
                </c:pt>
              </c:numCache>
            </c:numRef>
          </c:val>
          <c:extLst>
            <c:ext xmlns:c16="http://schemas.microsoft.com/office/drawing/2014/chart" uri="{C3380CC4-5D6E-409C-BE32-E72D297353CC}">
              <c16:uniqueId val="{00000005-A616-4C83-A7AD-4B419A77C309}"/>
            </c:ext>
          </c:extLst>
        </c:ser>
        <c:dLbls>
          <c:showLegendKey val="0"/>
          <c:showVal val="1"/>
          <c:showCatName val="0"/>
          <c:showSerName val="0"/>
          <c:showPercent val="0"/>
          <c:showBubbleSize val="0"/>
        </c:dLbls>
        <c:gapWidth val="219"/>
        <c:overlap val="-27"/>
        <c:axId val="156016640"/>
        <c:axId val="156018944"/>
      </c:barChart>
      <c:catAx>
        <c:axId val="1560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018944"/>
        <c:crosses val="autoZero"/>
        <c:auto val="1"/>
        <c:lblAlgn val="ctr"/>
        <c:lblOffset val="100"/>
        <c:noMultiLvlLbl val="0"/>
      </c:catAx>
      <c:valAx>
        <c:axId val="15601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01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Arkusz1!$I$293</c:f>
              <c:strCache>
                <c:ptCount val="1"/>
                <c:pt idx="0">
                  <c:v>2006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Arkusz1!$I$294:$I$307</c:f>
              <c:numCache>
                <c:formatCode>General</c:formatCode>
                <c:ptCount val="14"/>
                <c:pt idx="0">
                  <c:v>10</c:v>
                </c:pt>
                <c:pt idx="1">
                  <c:v>14</c:v>
                </c:pt>
                <c:pt idx="2">
                  <c:v>12</c:v>
                </c:pt>
                <c:pt idx="3">
                  <c:v>19</c:v>
                </c:pt>
                <c:pt idx="4">
                  <c:v>6</c:v>
                </c:pt>
                <c:pt idx="5">
                  <c:v>9</c:v>
                </c:pt>
                <c:pt idx="6">
                  <c:v>4</c:v>
                </c:pt>
                <c:pt idx="7">
                  <c:v>3</c:v>
                </c:pt>
                <c:pt idx="8">
                  <c:v>3</c:v>
                </c:pt>
                <c:pt idx="9">
                  <c:v>2</c:v>
                </c:pt>
                <c:pt idx="10">
                  <c:v>1</c:v>
                </c:pt>
                <c:pt idx="11">
                  <c:v>0</c:v>
                </c:pt>
                <c:pt idx="12">
                  <c:v>0</c:v>
                </c:pt>
                <c:pt idx="13">
                  <c:v>1</c:v>
                </c:pt>
              </c:numCache>
            </c:numRef>
          </c:val>
          <c:extLst>
            <c:ext xmlns:c16="http://schemas.microsoft.com/office/drawing/2014/chart" uri="{C3380CC4-5D6E-409C-BE32-E72D297353CC}">
              <c16:uniqueId val="{00000000-1D07-43A3-9522-C2FCCF3F7F87}"/>
            </c:ext>
          </c:extLst>
        </c:ser>
        <c:ser>
          <c:idx val="1"/>
          <c:order val="1"/>
          <c:tx>
            <c:strRef>
              <c:f>Arkusz1!$J$293</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Arkusz1!$J$294:$J$307</c:f>
              <c:numCache>
                <c:formatCode>General</c:formatCode>
                <c:ptCount val="14"/>
                <c:pt idx="0">
                  <c:v>15</c:v>
                </c:pt>
                <c:pt idx="1">
                  <c:v>19</c:v>
                </c:pt>
                <c:pt idx="2">
                  <c:v>16</c:v>
                </c:pt>
                <c:pt idx="3">
                  <c:v>26</c:v>
                </c:pt>
                <c:pt idx="4">
                  <c:v>10</c:v>
                </c:pt>
                <c:pt idx="5">
                  <c:v>11</c:v>
                </c:pt>
                <c:pt idx="6">
                  <c:v>4</c:v>
                </c:pt>
                <c:pt idx="7">
                  <c:v>4</c:v>
                </c:pt>
                <c:pt idx="8">
                  <c:v>6</c:v>
                </c:pt>
                <c:pt idx="9">
                  <c:v>4</c:v>
                </c:pt>
                <c:pt idx="10">
                  <c:v>6</c:v>
                </c:pt>
                <c:pt idx="11">
                  <c:v>1</c:v>
                </c:pt>
                <c:pt idx="12">
                  <c:v>1</c:v>
                </c:pt>
                <c:pt idx="13">
                  <c:v>3</c:v>
                </c:pt>
              </c:numCache>
            </c:numRef>
          </c:val>
          <c:extLst>
            <c:ext xmlns:c16="http://schemas.microsoft.com/office/drawing/2014/chart" uri="{C3380CC4-5D6E-409C-BE32-E72D297353CC}">
              <c16:uniqueId val="{00000001-1D07-43A3-9522-C2FCCF3F7F87}"/>
            </c:ext>
          </c:extLst>
        </c:ser>
        <c:ser>
          <c:idx val="2"/>
          <c:order val="2"/>
          <c:tx>
            <c:strRef>
              <c:f>Arkusz1!$K$293</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Arkusz1!$A$294:$A$307</c:f>
              <c:strCache>
                <c:ptCount val="14"/>
                <c:pt idx="0">
                  <c:v>Bójka</c:v>
                </c:pt>
                <c:pt idx="1">
                  <c:v>Wypadek lub uszkodzenie ciała</c:v>
                </c:pt>
                <c:pt idx="2">
                  <c:v>Zniszczenie rzeczy lub ubrania</c:v>
                </c:pt>
                <c:pt idx="3">
                  <c:v>Poważna kłótnia</c:v>
                </c:pt>
                <c:pt idx="4">
                  <c:v>Stałeś(aś) się ofiarą rabunku lub kradzieży</c:v>
                </c:pt>
                <c:pt idx="5">
                  <c:v>Kłopoty z policją</c:v>
                </c:pt>
                <c:pt idx="6">
                  <c:v>Korzystanie z pomocy medycznej z powodu poważnego zatrucia</c:v>
                </c:pt>
                <c:pt idx="7">
                  <c:v>Korzystanie z pomocy medycznej z powodu wypadku lub uszkodzenie ciała</c:v>
                </c:pt>
                <c:pt idx="8">
                  <c:v>Seks bez zabezpieczenia (bez antykoncepcji)</c:v>
                </c:pt>
                <c:pt idx="9">
                  <c:v>Niechciane przez Ciebie doświadczenia seksualne</c:v>
                </c:pt>
                <c:pt idx="10">
                  <c:v>Dokonłe(a)ś samouszkodzenia</c:v>
                </c:pt>
                <c:pt idx="11">
                  <c:v>Kierowałe(a)ś motorowerem lub innym pojazdem</c:v>
                </c:pt>
                <c:pt idx="12">
                  <c:v>Spowodowłe(a)ś wypadek drogowy</c:v>
                </c:pt>
                <c:pt idx="13">
                  <c:v>Pływałe(a)ś w głębokiej wodzie (np. w jeziorze)</c:v>
                </c:pt>
              </c:strCache>
            </c:strRef>
          </c:cat>
          <c:val>
            <c:numRef>
              <c:f>Arkusz1!$K$294:$K$307</c:f>
              <c:numCache>
                <c:formatCode>General</c:formatCode>
                <c:ptCount val="14"/>
                <c:pt idx="0">
                  <c:v>22</c:v>
                </c:pt>
                <c:pt idx="1">
                  <c:v>23</c:v>
                </c:pt>
                <c:pt idx="2">
                  <c:v>21</c:v>
                </c:pt>
                <c:pt idx="3">
                  <c:v>32</c:v>
                </c:pt>
                <c:pt idx="4">
                  <c:v>11</c:v>
                </c:pt>
                <c:pt idx="5">
                  <c:v>14</c:v>
                </c:pt>
                <c:pt idx="6">
                  <c:v>5</c:v>
                </c:pt>
                <c:pt idx="7">
                  <c:v>4</c:v>
                </c:pt>
                <c:pt idx="8">
                  <c:v>15</c:v>
                </c:pt>
                <c:pt idx="9">
                  <c:v>7</c:v>
                </c:pt>
                <c:pt idx="10">
                  <c:v>8</c:v>
                </c:pt>
                <c:pt idx="11">
                  <c:v>3</c:v>
                </c:pt>
                <c:pt idx="12">
                  <c:v>2</c:v>
                </c:pt>
                <c:pt idx="13">
                  <c:v>4</c:v>
                </c:pt>
              </c:numCache>
            </c:numRef>
          </c:val>
          <c:extLst>
            <c:ext xmlns:c16="http://schemas.microsoft.com/office/drawing/2014/chart" uri="{C3380CC4-5D6E-409C-BE32-E72D297353CC}">
              <c16:uniqueId val="{00000002-1D07-43A3-9522-C2FCCF3F7F87}"/>
            </c:ext>
          </c:extLst>
        </c:ser>
        <c:dLbls>
          <c:showLegendKey val="0"/>
          <c:showVal val="1"/>
          <c:showCatName val="0"/>
          <c:showSerName val="0"/>
          <c:showPercent val="0"/>
          <c:showBubbleSize val="0"/>
        </c:dLbls>
        <c:gapWidth val="219"/>
        <c:overlap val="-27"/>
        <c:axId val="157889664"/>
        <c:axId val="157891200"/>
      </c:barChart>
      <c:catAx>
        <c:axId val="15788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7891200"/>
        <c:crosses val="autoZero"/>
        <c:auto val="1"/>
        <c:lblAlgn val="ctr"/>
        <c:lblOffset val="100"/>
        <c:noMultiLvlLbl val="0"/>
      </c:catAx>
      <c:valAx>
        <c:axId val="15789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788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Arkusz1!$B$152</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Arkusz1!$A$153:$A$162</c:f>
              <c:strCache>
                <c:ptCount val="10"/>
                <c:pt idx="0">
                  <c:v>na spotkaniach towarzyskich z przyjaciólmi, znajomymi</c:v>
                </c:pt>
                <c:pt idx="1">
                  <c:v>na spotkaniach z rodziną</c:v>
                </c:pt>
                <c:pt idx="2">
                  <c:v>obchodząc święta, urczystości religijne</c:v>
                </c:pt>
                <c:pt idx="3">
                  <c:v>bez specjalnej okazji - kiedy ma Pan(i) ochotę</c:v>
                </c:pt>
                <c:pt idx="4">
                  <c:v>do obiadu, kolacji</c:v>
                </c:pt>
                <c:pt idx="5">
                  <c:v>aby uczcić jakieś osiągnięcia, np. zawodowe lub związane z nauką</c:v>
                </c:pt>
                <c:pt idx="6">
                  <c:v>w dłuższej podróży</c:v>
                </c:pt>
                <c:pt idx="7">
                  <c:v>na spotkaniach służbowych</c:v>
                </c:pt>
                <c:pt idx="8">
                  <c:v>w dniu otrzymania wypłat lub emerytury, renty </c:v>
                </c:pt>
                <c:pt idx="9">
                  <c:v>Inne okazje </c:v>
                </c:pt>
              </c:strCache>
            </c:strRef>
          </c:cat>
          <c:val>
            <c:numRef>
              <c:f>Arkusz1!$B$153:$B$162</c:f>
              <c:numCache>
                <c:formatCode>0.0%</c:formatCode>
                <c:ptCount val="10"/>
                <c:pt idx="0">
                  <c:v>0.56799999999999995</c:v>
                </c:pt>
                <c:pt idx="1">
                  <c:v>0.441</c:v>
                </c:pt>
                <c:pt idx="2">
                  <c:v>0.30800000000000022</c:v>
                </c:pt>
                <c:pt idx="3">
                  <c:v>0.19700000000000001</c:v>
                </c:pt>
                <c:pt idx="4">
                  <c:v>0.15200000000000011</c:v>
                </c:pt>
                <c:pt idx="5">
                  <c:v>0.12000000000000002</c:v>
                </c:pt>
                <c:pt idx="6">
                  <c:v>6.3E-2</c:v>
                </c:pt>
                <c:pt idx="7">
                  <c:v>6.2000000000000034E-2</c:v>
                </c:pt>
                <c:pt idx="8">
                  <c:v>4.3000000000000003E-2</c:v>
                </c:pt>
                <c:pt idx="9">
                  <c:v>3.0000000000000018E-3</c:v>
                </c:pt>
              </c:numCache>
            </c:numRef>
          </c:val>
          <c:extLst>
            <c:ext xmlns:c16="http://schemas.microsoft.com/office/drawing/2014/chart" uri="{C3380CC4-5D6E-409C-BE32-E72D297353CC}">
              <c16:uniqueId val="{00000000-EBCF-4902-A366-3547CDA0BDBC}"/>
            </c:ext>
          </c:extLst>
        </c:ser>
        <c:ser>
          <c:idx val="1"/>
          <c:order val="1"/>
          <c:tx>
            <c:strRef>
              <c:f>Arkusz1!$C$152</c:f>
              <c:strCache>
                <c:ptCount val="1"/>
                <c:pt idx="0">
                  <c:v>2025</c:v>
                </c:pt>
              </c:strCache>
            </c:strRef>
          </c:tx>
          <c:spPr>
            <a:solidFill>
              <a:schemeClr val="accent2"/>
            </a:solidFill>
            <a:ln>
              <a:noFill/>
            </a:ln>
            <a:effectLst/>
          </c:spPr>
          <c:invertIfNegative val="0"/>
          <c:dLbls>
            <c:dLbl>
              <c:idx val="1"/>
              <c:layout>
                <c:manualLayout>
                  <c:x val="1.526384648931532E-2"/>
                  <c:y val="-2.61540473388257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CF-4902-A366-3547CDA0BDBC}"/>
                </c:ext>
              </c:extLst>
            </c:dLbl>
            <c:dLbl>
              <c:idx val="2"/>
              <c:layout>
                <c:manualLayout>
                  <c:x val="3.0527692978630613E-2"/>
                  <c:y val="-1.5692428403295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CF-4902-A366-3547CDA0BDBC}"/>
                </c:ext>
              </c:extLst>
            </c:dLbl>
            <c:dLbl>
              <c:idx val="3"/>
              <c:layout>
                <c:manualLayout>
                  <c:x val="1.7444395987788842E-2"/>
                  <c:y val="-1.30770236694128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CF-4902-A366-3547CDA0BDBC}"/>
                </c:ext>
              </c:extLst>
            </c:dLbl>
            <c:dLbl>
              <c:idx val="4"/>
              <c:layout>
                <c:manualLayout>
                  <c:x val="1.7444395987788922E-2"/>
                  <c:y val="-1.0461618935530275E-2"/>
                </c:manualLayout>
              </c:layout>
              <c:tx>
                <c:rich>
                  <a:bodyPr/>
                  <a:lstStyle/>
                  <a:p>
                    <a:fld id="{BF01B19E-5302-45E2-8B1A-EB9C9F675DCE}" type="VALUE">
                      <a:rPr lang="en-US" b="0"/>
                      <a:pPr/>
                      <a:t>[WARTOŚĆ]</a:t>
                    </a:fld>
                    <a:endParaRPr lang="pl-PL"/>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BCF-4902-A366-3547CDA0BDBC}"/>
                </c:ext>
              </c:extLst>
            </c:dLbl>
            <c:dLbl>
              <c:idx val="5"/>
              <c:layout>
                <c:manualLayout>
                  <c:x val="1.7444395987788922E-2"/>
                  <c:y val="-2.35386426049431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CF-4902-A366-3547CDA0BDBC}"/>
                </c:ext>
              </c:extLst>
            </c:dLbl>
            <c:dLbl>
              <c:idx val="6"/>
              <c:layout>
                <c:manualLayout>
                  <c:x val="1.3083296990841523E-2"/>
                  <c:y val="-2.0923237871060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CF-4902-A366-3547CDA0BDBC}"/>
                </c:ext>
              </c:extLst>
            </c:dLbl>
            <c:dLbl>
              <c:idx val="7"/>
              <c:layout>
                <c:manualLayout>
                  <c:x val="1.3083296990841679E-2"/>
                  <c:y val="-2.35386426049431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CF-4902-A366-3547CDA0BDBC}"/>
                </c:ext>
              </c:extLst>
            </c:dLbl>
            <c:dLbl>
              <c:idx val="8"/>
              <c:layout>
                <c:manualLayout>
                  <c:x val="2.1805494984736152E-3"/>
                  <c:y val="-2.35386426049431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BCF-4902-A366-3547CDA0BDBC}"/>
                </c:ext>
              </c:extLst>
            </c:dLbl>
            <c:dLbl>
              <c:idx val="9"/>
              <c:layout>
                <c:manualLayout>
                  <c:x val="1.3083296990841679E-2"/>
                  <c:y val="-3.4000261540473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CF-4902-A366-3547CDA0BD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Arkusz1!$A$153:$A$162</c:f>
              <c:strCache>
                <c:ptCount val="10"/>
                <c:pt idx="0">
                  <c:v>na spotkaniach towarzyskich z przyjaciólmi, znajomymi</c:v>
                </c:pt>
                <c:pt idx="1">
                  <c:v>na spotkaniach z rodziną</c:v>
                </c:pt>
                <c:pt idx="2">
                  <c:v>obchodząc święta, urczystości religijne</c:v>
                </c:pt>
                <c:pt idx="3">
                  <c:v>bez specjalnej okazji - kiedy ma Pan(i) ochotę</c:v>
                </c:pt>
                <c:pt idx="4">
                  <c:v>do obiadu, kolacji</c:v>
                </c:pt>
                <c:pt idx="5">
                  <c:v>aby uczcić jakieś osiągnięcia, np. zawodowe lub związane z nauką</c:v>
                </c:pt>
                <c:pt idx="6">
                  <c:v>w dłuższej podróży</c:v>
                </c:pt>
                <c:pt idx="7">
                  <c:v>na spotkaniach służbowych</c:v>
                </c:pt>
                <c:pt idx="8">
                  <c:v>w dniu otrzymania wypłat lub emerytury, renty </c:v>
                </c:pt>
                <c:pt idx="9">
                  <c:v>Inne okazje </c:v>
                </c:pt>
              </c:strCache>
            </c:strRef>
          </c:cat>
          <c:val>
            <c:numRef>
              <c:f>Arkusz1!$C$153:$C$162</c:f>
              <c:numCache>
                <c:formatCode>0.00%</c:formatCode>
                <c:ptCount val="10"/>
                <c:pt idx="0">
                  <c:v>0.61200000000000043</c:v>
                </c:pt>
                <c:pt idx="1">
                  <c:v>0.40200000000000002</c:v>
                </c:pt>
                <c:pt idx="2">
                  <c:v>0.254</c:v>
                </c:pt>
                <c:pt idx="3">
                  <c:v>0.221</c:v>
                </c:pt>
                <c:pt idx="4">
                  <c:v>0.18900000000000011</c:v>
                </c:pt>
                <c:pt idx="5">
                  <c:v>0.13400000000000001</c:v>
                </c:pt>
                <c:pt idx="6">
                  <c:v>7.9000000000000056E-2</c:v>
                </c:pt>
                <c:pt idx="7">
                  <c:v>7.0999999999999994E-2</c:v>
                </c:pt>
                <c:pt idx="8">
                  <c:v>5.9000000000000025E-2</c:v>
                </c:pt>
                <c:pt idx="9">
                  <c:v>1.0000000000000009E-3</c:v>
                </c:pt>
              </c:numCache>
            </c:numRef>
          </c:val>
          <c:extLst>
            <c:ext xmlns:c16="http://schemas.microsoft.com/office/drawing/2014/chart" uri="{C3380CC4-5D6E-409C-BE32-E72D297353CC}">
              <c16:uniqueId val="{0000000A-EBCF-4902-A366-3547CDA0BDBC}"/>
            </c:ext>
          </c:extLst>
        </c:ser>
        <c:dLbls>
          <c:showLegendKey val="0"/>
          <c:showVal val="1"/>
          <c:showCatName val="0"/>
          <c:showSerName val="0"/>
          <c:showPercent val="0"/>
          <c:showBubbleSize val="0"/>
        </c:dLbls>
        <c:gapWidth val="219"/>
        <c:overlap val="-27"/>
        <c:axId val="160511488"/>
        <c:axId val="160513024"/>
      </c:barChart>
      <c:catAx>
        <c:axId val="16051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513024"/>
        <c:crosses val="autoZero"/>
        <c:auto val="1"/>
        <c:lblAlgn val="ctr"/>
        <c:lblOffset val="100"/>
        <c:noMultiLvlLbl val="0"/>
      </c:catAx>
      <c:valAx>
        <c:axId val="160513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51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Arkusz1!$B$94</c:f>
              <c:strCache>
                <c:ptCount val="1"/>
                <c:pt idx="0">
                  <c:v>2019</c:v>
                </c:pt>
              </c:strCache>
            </c:strRef>
          </c:tx>
          <c:spPr>
            <a:solidFill>
              <a:schemeClr val="accent1"/>
            </a:solidFill>
            <a:ln>
              <a:noFill/>
            </a:ln>
            <a:effectLst/>
          </c:spPr>
          <c:invertIfNegative val="0"/>
          <c:dLbls>
            <c:dLbl>
              <c:idx val="5"/>
              <c:layout>
                <c:manualLayout>
                  <c:x val="8.7559274871314638E-3"/>
                  <c:y val="-2.1301773162952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BB-48A8-AA24-0977CB0DA523}"/>
                </c:ext>
              </c:extLst>
            </c:dLbl>
            <c:dLbl>
              <c:idx val="7"/>
              <c:layout>
                <c:manualLayout>
                  <c:x val="0"/>
                  <c:y val="-2.84023642172702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BB-48A8-AA24-0977CB0DA523}"/>
                </c:ext>
              </c:extLst>
            </c:dLbl>
            <c:dLbl>
              <c:idx val="9"/>
              <c:layout>
                <c:manualLayout>
                  <c:x val="-1.6052348288310666E-16"/>
                  <c:y val="-2.48520686901115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BB-48A8-AA24-0977CB0DA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Arkusz1!$A$95:$A$104</c:f>
              <c:strCache>
                <c:ptCount val="10"/>
                <c:pt idx="0">
                  <c:v>dla poprawy nastroju</c:v>
                </c:pt>
                <c:pt idx="1">
                  <c:v>chęć rozładowania napięcia i/lub zapomnienia o problemach (np. w pracy, rodzinie)</c:v>
                </c:pt>
                <c:pt idx="2">
                  <c:v>bez konkretnego powodu to była/jest spontaniczna decyzja</c:v>
                </c:pt>
                <c:pt idx="3">
                  <c:v>chciałem/am dodać sobie odwagi</c:v>
                </c:pt>
                <c:pt idx="4">
                  <c:v>dla pozyskania energii i chęci do pracy i/lub wykonywania konkretnych czynności</c:v>
                </c:pt>
                <c:pt idx="5">
                  <c:v>aby zwalczyć odczuwany ból i/lub inne dolegliwości</c:v>
                </c:pt>
                <c:pt idx="6">
                  <c:v>z ciekawości, chęci przeżycia czegoś nowego i/lub wyjątkowego</c:v>
                </c:pt>
                <c:pt idx="7">
                  <c:v>to jest/było modne wśród moich znajomych</c:v>
                </c:pt>
                <c:pt idx="8">
                  <c:v>chciałem/am zwrócić na siebie uwagę swoich bliskich/otoczenia</c:v>
                </c:pt>
                <c:pt idx="9">
                  <c:v>inne powody </c:v>
                </c:pt>
              </c:strCache>
            </c:strRef>
          </c:cat>
          <c:val>
            <c:numRef>
              <c:f>Arkusz1!$B$95:$B$104</c:f>
              <c:numCache>
                <c:formatCode>0.0%</c:formatCode>
                <c:ptCount val="10"/>
                <c:pt idx="0">
                  <c:v>0.56799999999999995</c:v>
                </c:pt>
                <c:pt idx="1">
                  <c:v>0.35700000000000021</c:v>
                </c:pt>
                <c:pt idx="2">
                  <c:v>0.2930000000000002</c:v>
                </c:pt>
                <c:pt idx="3">
                  <c:v>0.15800000000000011</c:v>
                </c:pt>
                <c:pt idx="4">
                  <c:v>0.13600000000000001</c:v>
                </c:pt>
                <c:pt idx="5">
                  <c:v>0.11</c:v>
                </c:pt>
                <c:pt idx="6">
                  <c:v>8.6000000000000021E-2</c:v>
                </c:pt>
                <c:pt idx="7">
                  <c:v>7.5000000000000011E-2</c:v>
                </c:pt>
                <c:pt idx="8">
                  <c:v>3.7999999999999999E-2</c:v>
                </c:pt>
                <c:pt idx="9">
                  <c:v>2.1000000000000012E-2</c:v>
                </c:pt>
              </c:numCache>
            </c:numRef>
          </c:val>
          <c:extLst>
            <c:ext xmlns:c16="http://schemas.microsoft.com/office/drawing/2014/chart" uri="{C3380CC4-5D6E-409C-BE32-E72D297353CC}">
              <c16:uniqueId val="{00000003-D2BB-48A8-AA24-0977CB0DA523}"/>
            </c:ext>
          </c:extLst>
        </c:ser>
        <c:ser>
          <c:idx val="1"/>
          <c:order val="1"/>
          <c:tx>
            <c:strRef>
              <c:f>Arkusz1!$C$94</c:f>
              <c:strCache>
                <c:ptCount val="1"/>
                <c:pt idx="0">
                  <c:v>2025</c:v>
                </c:pt>
              </c:strCache>
            </c:strRef>
          </c:tx>
          <c:spPr>
            <a:solidFill>
              <a:schemeClr val="accent2"/>
            </a:solidFill>
            <a:ln>
              <a:noFill/>
            </a:ln>
            <a:effectLst/>
          </c:spPr>
          <c:invertIfNegative val="0"/>
          <c:dLbls>
            <c:dLbl>
              <c:idx val="2"/>
              <c:layout>
                <c:manualLayout>
                  <c:x val="6.5669456153486594E-3"/>
                  <c:y val="-4.2603546325905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BB-48A8-AA24-0977CB0DA523}"/>
                </c:ext>
              </c:extLst>
            </c:dLbl>
            <c:dLbl>
              <c:idx val="4"/>
              <c:layout>
                <c:manualLayout>
                  <c:x val="4.3779637435656963E-3"/>
                  <c:y val="-1.7751477635793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BB-48A8-AA24-0977CB0DA523}"/>
                </c:ext>
              </c:extLst>
            </c:dLbl>
            <c:dLbl>
              <c:idx val="6"/>
              <c:layout>
                <c:manualLayout>
                  <c:x val="2.1889818717828104E-3"/>
                  <c:y val="-3.19526597444290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BB-48A8-AA24-0977CB0DA523}"/>
                </c:ext>
              </c:extLst>
            </c:dLbl>
            <c:dLbl>
              <c:idx val="8"/>
              <c:layout>
                <c:manualLayout>
                  <c:x val="0"/>
                  <c:y val="-2.48520686901114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BB-48A8-AA24-0977CB0DA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Arkusz1!$A$95:$A$104</c:f>
              <c:strCache>
                <c:ptCount val="10"/>
                <c:pt idx="0">
                  <c:v>dla poprawy nastroju</c:v>
                </c:pt>
                <c:pt idx="1">
                  <c:v>chęć rozładowania napięcia i/lub zapomnienia o problemach (np. w pracy, rodzinie)</c:v>
                </c:pt>
                <c:pt idx="2">
                  <c:v>bez konkretnego powodu to była/jest spontaniczna decyzja</c:v>
                </c:pt>
                <c:pt idx="3">
                  <c:v>chciałem/am dodać sobie odwagi</c:v>
                </c:pt>
                <c:pt idx="4">
                  <c:v>dla pozyskania energii i chęci do pracy i/lub wykonywania konkretnych czynności</c:v>
                </c:pt>
                <c:pt idx="5">
                  <c:v>aby zwalczyć odczuwany ból i/lub inne dolegliwości</c:v>
                </c:pt>
                <c:pt idx="6">
                  <c:v>z ciekawości, chęci przeżycia czegoś nowego i/lub wyjątkowego</c:v>
                </c:pt>
                <c:pt idx="7">
                  <c:v>to jest/było modne wśród moich znajomych</c:v>
                </c:pt>
                <c:pt idx="8">
                  <c:v>chciałem/am zwrócić na siebie uwagę swoich bliskich/otoczenia</c:v>
                </c:pt>
                <c:pt idx="9">
                  <c:v>inne powody </c:v>
                </c:pt>
              </c:strCache>
            </c:strRef>
          </c:cat>
          <c:val>
            <c:numRef>
              <c:f>Arkusz1!$C$95:$C$104</c:f>
              <c:numCache>
                <c:formatCode>0.00%</c:formatCode>
                <c:ptCount val="10"/>
                <c:pt idx="0">
                  <c:v>0.61900000000000044</c:v>
                </c:pt>
                <c:pt idx="1">
                  <c:v>0.63200000000000045</c:v>
                </c:pt>
                <c:pt idx="2">
                  <c:v>0.2910000000000002</c:v>
                </c:pt>
                <c:pt idx="3">
                  <c:v>0.21500000000000011</c:v>
                </c:pt>
                <c:pt idx="4">
                  <c:v>0.15400000000000011</c:v>
                </c:pt>
                <c:pt idx="5">
                  <c:v>9.3000000000000083E-2</c:v>
                </c:pt>
                <c:pt idx="6">
                  <c:v>8.9000000000000065E-2</c:v>
                </c:pt>
                <c:pt idx="7">
                  <c:v>6.4000000000000057E-2</c:v>
                </c:pt>
                <c:pt idx="8">
                  <c:v>6.3E-2</c:v>
                </c:pt>
                <c:pt idx="9">
                  <c:v>1.2E-2</c:v>
                </c:pt>
              </c:numCache>
            </c:numRef>
          </c:val>
          <c:extLst>
            <c:ext xmlns:c16="http://schemas.microsoft.com/office/drawing/2014/chart" uri="{C3380CC4-5D6E-409C-BE32-E72D297353CC}">
              <c16:uniqueId val="{00000008-D2BB-48A8-AA24-0977CB0DA523}"/>
            </c:ext>
          </c:extLst>
        </c:ser>
        <c:dLbls>
          <c:showLegendKey val="0"/>
          <c:showVal val="1"/>
          <c:showCatName val="0"/>
          <c:showSerName val="0"/>
          <c:showPercent val="0"/>
          <c:showBubbleSize val="0"/>
        </c:dLbls>
        <c:gapWidth val="219"/>
        <c:overlap val="-27"/>
        <c:axId val="160538624"/>
        <c:axId val="160540160"/>
      </c:barChart>
      <c:catAx>
        <c:axId val="16053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540160"/>
        <c:crosses val="autoZero"/>
        <c:auto val="1"/>
        <c:lblAlgn val="ctr"/>
        <c:lblOffset val="100"/>
        <c:noMultiLvlLbl val="0"/>
      </c:catAx>
      <c:valAx>
        <c:axId val="160540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53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C003-8038-BB49-87D3-6F65813A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83</Pages>
  <Words>23993</Words>
  <Characters>143961</Characters>
  <Application>Microsoft Office Word</Application>
  <DocSecurity>0</DocSecurity>
  <Lines>1199</Lines>
  <Paragraphs>335</Paragraphs>
  <ScaleCrop>false</ScaleCrop>
  <HeadingPairs>
    <vt:vector size="2" baseType="variant">
      <vt:variant>
        <vt:lpstr>Tytuł</vt:lpstr>
      </vt:variant>
      <vt:variant>
        <vt:i4>1</vt:i4>
      </vt:variant>
    </vt:vector>
  </HeadingPairs>
  <TitlesOfParts>
    <vt:vector size="1" baseType="lpstr">
      <vt:lpstr>Wojewódzki Program Profilaktyki i Rozwiązywania Problemów Alkoholowych oraz Przeciwdziałania Narkomanii na lata 2022-2025</vt:lpstr>
    </vt:vector>
  </TitlesOfParts>
  <Company/>
  <LinksUpToDate>false</LinksUpToDate>
  <CharactersWithSpaces>167619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Program Profilaktyki i Rozwiązywania Problemów Alkoholowych oraz Przeciwdziałania Narkomanii na lata 2022-2025</dc:title>
  <dc:subject/>
  <dc:creator>Diana Biront</dc:creator>
  <cp:keywords/>
  <dc:description/>
  <cp:lastModifiedBy>Marta Sękuła</cp:lastModifiedBy>
  <cp:revision>20</cp:revision>
  <cp:lastPrinted>2025-10-10T07:18:00Z</cp:lastPrinted>
  <dcterms:created xsi:type="dcterms:W3CDTF">2025-11-18T08:07:00Z</dcterms:created>
  <dcterms:modified xsi:type="dcterms:W3CDTF">2025-11-24T09:15:00Z</dcterms:modified>
</cp:coreProperties>
</file>